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Stalowa Wola</w:t>
      </w:r>
      <w:r>
        <w:rPr>
          <w:rFonts w:ascii="Arial" w:hAnsi="Arial" w:cs="Arial"/>
          <w:color w:val="000000"/>
        </w:rPr>
        <w:t xml:space="preserve">, </w:t>
      </w:r>
      <w:r w:rsidR="00626A54">
        <w:rPr>
          <w:rFonts w:ascii="Arial" w:hAnsi="Arial" w:cs="Arial"/>
          <w:color w:val="000000"/>
          <w:highlight w:val="white"/>
        </w:rPr>
        <w:t>2012</w:t>
      </w:r>
      <w:r w:rsidR="00182597">
        <w:rPr>
          <w:rFonts w:ascii="Arial" w:hAnsi="Arial" w:cs="Arial"/>
          <w:color w:val="000000"/>
          <w:highlight w:val="white"/>
        </w:rPr>
        <w:t>-</w:t>
      </w:r>
      <w:r w:rsidR="009D0F8C">
        <w:rPr>
          <w:rFonts w:ascii="Arial" w:hAnsi="Arial" w:cs="Arial"/>
          <w:color w:val="000000"/>
        </w:rPr>
        <w:t>11-14</w:t>
      </w:r>
      <w:bookmarkStart w:id="0" w:name="_GoBack"/>
      <w:bookmarkEnd w:id="0"/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OGŁOSZENIE O ZAMÓWIENIU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D712B" w:rsidRPr="004D712B" w:rsidRDefault="004D712B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Dotyczy</w:t>
      </w:r>
      <w:r w:rsidR="008E1366">
        <w:rPr>
          <w:rFonts w:ascii="Arial" w:hAnsi="Arial" w:cs="Arial"/>
          <w:color w:val="000000"/>
        </w:rPr>
        <w:t>: postępowania o udzielenie zamówi</w:t>
      </w:r>
      <w:r w:rsidR="00B83A69">
        <w:rPr>
          <w:rFonts w:ascii="Arial" w:hAnsi="Arial" w:cs="Arial"/>
          <w:color w:val="000000"/>
        </w:rPr>
        <w:t xml:space="preserve">enia </w:t>
      </w:r>
      <w:r w:rsidR="00A31B07">
        <w:rPr>
          <w:rFonts w:ascii="Arial" w:hAnsi="Arial" w:cs="Arial"/>
          <w:color w:val="000000"/>
        </w:rPr>
        <w:t>publicznego. Numer sprawy: PN/23</w:t>
      </w:r>
      <w:r w:rsidR="00626A54">
        <w:rPr>
          <w:rFonts w:ascii="Arial" w:hAnsi="Arial" w:cs="Arial"/>
          <w:color w:val="000000"/>
        </w:rPr>
        <w:t>/2012</w:t>
      </w:r>
      <w:r w:rsidR="008E1366">
        <w:rPr>
          <w:rFonts w:ascii="Arial" w:hAnsi="Arial" w:cs="Arial"/>
          <w:color w:val="000000"/>
        </w:rPr>
        <w:t xml:space="preserve"> Nazwa zadania: </w:t>
      </w:r>
      <w:r w:rsidRPr="004D712B">
        <w:rPr>
          <w:rFonts w:ascii="Arial" w:hAnsi="Arial" w:cs="Arial"/>
          <w:color w:val="000000"/>
        </w:rPr>
        <w:t>Zamówienie Nr 01</w:t>
      </w:r>
    </w:p>
    <w:p w:rsidR="00182597" w:rsidRDefault="00A31B07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712B">
        <w:rPr>
          <w:rFonts w:ascii="Arial" w:hAnsi="Arial" w:cs="Arial"/>
          <w:color w:val="000000"/>
        </w:rPr>
        <w:t>„BUDOWA ZAKŁADU MECHANICZNO-BIOLOGICZNEGO PRZETWARZANIA ODPADÓW KOMUNALNYCH W STALOWEJ WOLI”</w:t>
      </w:r>
      <w:r>
        <w:rPr>
          <w:rFonts w:ascii="Arial" w:hAnsi="Arial" w:cs="Arial"/>
          <w:color w:val="000000"/>
        </w:rPr>
        <w:t>.</w:t>
      </w:r>
    </w:p>
    <w:p w:rsidR="004D712B" w:rsidRPr="004D712B" w:rsidRDefault="004D712B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Działając na podstawie art. 40 ust. 1 ustawy z dnia 29 stycznia 2004 roku - Prawo zamówień </w:t>
      </w:r>
      <w:r w:rsidR="00A31B07">
        <w:rPr>
          <w:rFonts w:ascii="Arial" w:hAnsi="Arial" w:cs="Arial"/>
          <w:color w:val="000000"/>
        </w:rPr>
        <w:t xml:space="preserve">publicznych </w:t>
      </w:r>
      <w:r>
        <w:rPr>
          <w:rFonts w:ascii="Arial" w:hAnsi="Arial" w:cs="Arial"/>
          <w:color w:val="000000"/>
        </w:rPr>
        <w:t>(</w:t>
      </w:r>
      <w:r w:rsidR="00A31B07">
        <w:rPr>
          <w:rFonts w:ascii="Arial" w:hAnsi="Arial" w:cs="Arial"/>
          <w:color w:val="000000"/>
          <w:highlight w:val="white"/>
        </w:rPr>
        <w:t>tekst jednolity</w:t>
      </w:r>
      <w:r>
        <w:rPr>
          <w:rFonts w:ascii="Arial" w:hAnsi="Arial" w:cs="Arial"/>
          <w:color w:val="000000"/>
          <w:highlight w:val="white"/>
        </w:rPr>
        <w:t xml:space="preserve"> Dz. U. z 2010 r. Nr 113, poz. 759</w:t>
      </w:r>
      <w:r w:rsidR="00A31B07">
        <w:rPr>
          <w:rFonts w:ascii="Arial" w:hAnsi="Arial" w:cs="Arial"/>
          <w:color w:val="000000"/>
        </w:rPr>
        <w:t xml:space="preserve"> z </w:t>
      </w:r>
      <w:proofErr w:type="spellStart"/>
      <w:r w:rsidR="00A31B07">
        <w:rPr>
          <w:rFonts w:ascii="Arial" w:hAnsi="Arial" w:cs="Arial"/>
          <w:color w:val="000000"/>
        </w:rPr>
        <w:t>późn</w:t>
      </w:r>
      <w:proofErr w:type="spellEnd"/>
      <w:r w:rsidR="00A31B07">
        <w:rPr>
          <w:rFonts w:ascii="Arial" w:hAnsi="Arial" w:cs="Arial"/>
          <w:color w:val="000000"/>
        </w:rPr>
        <w:t xml:space="preserve">. </w:t>
      </w:r>
      <w:r w:rsidR="00645FED">
        <w:rPr>
          <w:rFonts w:ascii="Arial" w:hAnsi="Arial" w:cs="Arial"/>
          <w:color w:val="000000"/>
        </w:rPr>
        <w:t>z</w:t>
      </w:r>
      <w:r w:rsidR="00A31B07">
        <w:rPr>
          <w:rFonts w:ascii="Arial" w:hAnsi="Arial" w:cs="Arial"/>
          <w:color w:val="000000"/>
        </w:rPr>
        <w:t>m.</w:t>
      </w:r>
      <w:r>
        <w:rPr>
          <w:rFonts w:ascii="Arial" w:hAnsi="Arial" w:cs="Arial"/>
          <w:color w:val="000000"/>
        </w:rPr>
        <w:t xml:space="preserve">) </w:t>
      </w:r>
      <w:r w:rsidR="00182597">
        <w:rPr>
          <w:rFonts w:ascii="Arial" w:hAnsi="Arial" w:cs="Arial"/>
          <w:color w:val="000000"/>
          <w:highlight w:val="white"/>
        </w:rPr>
        <w:t>Mi</w:t>
      </w:r>
      <w:r w:rsidR="00A31B07">
        <w:rPr>
          <w:rFonts w:ascii="Arial" w:hAnsi="Arial" w:cs="Arial"/>
          <w:color w:val="000000"/>
          <w:highlight w:val="white"/>
        </w:rPr>
        <w:t>ejski Zakład Komunalny S</w:t>
      </w:r>
      <w:r>
        <w:rPr>
          <w:rFonts w:ascii="Arial" w:hAnsi="Arial" w:cs="Arial"/>
          <w:color w:val="000000"/>
          <w:highlight w:val="white"/>
        </w:rPr>
        <w:t>p. z o.o</w:t>
      </w:r>
      <w:r w:rsidR="0018259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zawiadamia o wszczęciu postępowania o udzielenie zamówienia publicznego.</w:t>
      </w:r>
    </w:p>
    <w:p w:rsidR="008E1366" w:rsidRDefault="008E136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4D7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I.  Nazwa (firma) i adres Z</w:t>
      </w:r>
      <w:r w:rsidR="008E1366">
        <w:rPr>
          <w:rFonts w:ascii="Arial" w:hAnsi="Arial" w:cs="Arial"/>
          <w:b/>
          <w:bCs/>
          <w:color w:val="000000"/>
        </w:rPr>
        <w:t>amawiającego: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Nazwa Zamawiającego:</w:t>
      </w:r>
      <w:r w:rsidRPr="00B57133">
        <w:rPr>
          <w:rFonts w:ascii="Arial" w:hAnsi="Arial" w:cs="Arial"/>
        </w:rPr>
        <w:tab/>
      </w:r>
      <w:r w:rsidR="00AD4879">
        <w:rPr>
          <w:rFonts w:ascii="Arial" w:hAnsi="Arial" w:cs="Arial"/>
        </w:rPr>
        <w:t xml:space="preserve">    </w:t>
      </w:r>
      <w:r w:rsidRPr="00B57133">
        <w:rPr>
          <w:rFonts w:ascii="Arial" w:hAnsi="Arial" w:cs="Arial"/>
        </w:rPr>
        <w:t>Miejski Zakład Komunalny Sp. z o.o.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Adres Zamawiającego:</w:t>
      </w:r>
      <w:r w:rsidRPr="00B57133">
        <w:rPr>
          <w:rFonts w:ascii="Arial" w:hAnsi="Arial" w:cs="Arial"/>
        </w:rPr>
        <w:tab/>
      </w:r>
      <w:r w:rsidR="00AD4879">
        <w:rPr>
          <w:rFonts w:ascii="Arial" w:hAnsi="Arial" w:cs="Arial"/>
        </w:rPr>
        <w:t xml:space="preserve">    </w:t>
      </w:r>
      <w:r w:rsidRPr="00B57133">
        <w:rPr>
          <w:rFonts w:ascii="Arial" w:hAnsi="Arial" w:cs="Arial"/>
        </w:rPr>
        <w:t>ul. Komunalna 1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 xml:space="preserve">Kod Miejscowość: </w:t>
      </w:r>
      <w:r w:rsidRPr="00B57133">
        <w:rPr>
          <w:rFonts w:ascii="Arial" w:hAnsi="Arial" w:cs="Arial"/>
        </w:rPr>
        <w:tab/>
      </w:r>
      <w:r w:rsidR="00AD4879">
        <w:rPr>
          <w:rFonts w:ascii="Arial" w:hAnsi="Arial" w:cs="Arial"/>
        </w:rPr>
        <w:t xml:space="preserve">    </w:t>
      </w:r>
      <w:r w:rsidRPr="00B57133">
        <w:rPr>
          <w:rFonts w:ascii="Arial" w:hAnsi="Arial" w:cs="Arial"/>
        </w:rPr>
        <w:t>37-450 Stalowa Wola</w:t>
      </w:r>
    </w:p>
    <w:p w:rsidR="004D712B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814A26">
        <w:rPr>
          <w:rFonts w:ascii="Arial" w:hAnsi="Arial" w:cs="Arial"/>
        </w:rPr>
        <w:t>Kraj:</w:t>
      </w:r>
      <w:r w:rsidRPr="00814A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</w:t>
      </w:r>
      <w:r w:rsidRPr="00814A26">
        <w:rPr>
          <w:rFonts w:ascii="Arial" w:hAnsi="Arial" w:cs="Arial"/>
        </w:rPr>
        <w:t>Polska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 xml:space="preserve">Telefon: </w:t>
      </w:r>
      <w:r w:rsidRPr="00B571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+ 48 </w:t>
      </w:r>
      <w:r w:rsidRPr="00B57133">
        <w:rPr>
          <w:rFonts w:ascii="Arial" w:hAnsi="Arial" w:cs="Arial"/>
        </w:rPr>
        <w:t>15 842-34-11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 xml:space="preserve">Faks: </w:t>
      </w:r>
      <w:r w:rsidRPr="00B571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+ 48 </w:t>
      </w:r>
      <w:r w:rsidRPr="00B57133">
        <w:rPr>
          <w:rFonts w:ascii="Arial" w:hAnsi="Arial" w:cs="Arial"/>
        </w:rPr>
        <w:t>15 842-19-50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Adres str</w:t>
      </w:r>
      <w:r>
        <w:rPr>
          <w:rFonts w:ascii="Arial" w:hAnsi="Arial" w:cs="Arial"/>
        </w:rPr>
        <w:t xml:space="preserve">ony internetowej:    </w:t>
      </w:r>
      <w:r w:rsidRPr="00B57133">
        <w:rPr>
          <w:rFonts w:ascii="Arial" w:hAnsi="Arial" w:cs="Arial"/>
        </w:rPr>
        <w:t>www.mzk.stalowa-wola.pl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elektronicznej: </w:t>
      </w:r>
      <w:r w:rsidRPr="00B57133">
        <w:rPr>
          <w:rFonts w:ascii="Arial" w:hAnsi="Arial" w:cs="Arial"/>
        </w:rPr>
        <w:t>mzk@um.stalowawola.pl</w:t>
      </w:r>
    </w:p>
    <w:p w:rsidR="004D712B" w:rsidRPr="0020280C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Godziny urzędowania:</w:t>
      </w:r>
      <w:r w:rsidRPr="00B57133">
        <w:rPr>
          <w:rFonts w:ascii="Arial" w:hAnsi="Arial" w:cs="Arial"/>
        </w:rPr>
        <w:tab/>
      </w:r>
      <w:r w:rsidRPr="0020280C">
        <w:rPr>
          <w:rFonts w:ascii="Arial" w:hAnsi="Arial" w:cs="Arial"/>
        </w:rPr>
        <w:t xml:space="preserve">   </w:t>
      </w:r>
      <w:r w:rsidR="00AD4879">
        <w:rPr>
          <w:rFonts w:ascii="Arial" w:hAnsi="Arial" w:cs="Arial"/>
        </w:rPr>
        <w:t xml:space="preserve">  </w:t>
      </w:r>
      <w:r w:rsidRPr="008F205A">
        <w:rPr>
          <w:rFonts w:ascii="Arial" w:hAnsi="Arial" w:cs="Arial"/>
        </w:rPr>
        <w:t>poniedziałek-piątek</w:t>
      </w:r>
      <w:r w:rsidRPr="0020280C">
        <w:rPr>
          <w:rFonts w:ascii="Arial" w:hAnsi="Arial" w:cs="Arial"/>
        </w:rPr>
        <w:t xml:space="preserve">   7.00 - 15.00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Określenie trybu zamówienia: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Postępowanie prowadzone jest w trybie przetargu nieograniczonego o wartości szacunkowej powyżej progów ustalonych na podstawie art. 11 ust. 8 Prawa zamówień publicznych.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D4879" w:rsidRDefault="00AD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III. Adres strony internetowej, na której zamieszczona będzie </w:t>
      </w:r>
      <w:r w:rsidR="008F49C3">
        <w:rPr>
          <w:rFonts w:ascii="Arial" w:hAnsi="Arial" w:cs="Arial"/>
          <w:b/>
          <w:bCs/>
          <w:color w:val="000000"/>
        </w:rPr>
        <w:t>Specyfikacja Istotnych Warunków Zamówienia</w:t>
      </w:r>
      <w:r>
        <w:rPr>
          <w:rFonts w:ascii="Arial" w:hAnsi="Arial" w:cs="Arial"/>
          <w:b/>
          <w:bCs/>
          <w:color w:val="000000"/>
        </w:rPr>
        <w:t>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Specyfikacja istotnych warunków zamówienia zamieszczona zostanie na stronie internetowej: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highlight w:val="white"/>
        </w:rPr>
        <w:t>www.mzk.stalowa-wola.pl</w:t>
      </w:r>
      <w:r w:rsidR="00B83A69">
        <w:rPr>
          <w:rFonts w:ascii="Arial" w:hAnsi="Arial" w:cs="Arial"/>
          <w:color w:val="000000"/>
        </w:rPr>
        <w:t>/bip</w:t>
      </w:r>
      <w:r>
        <w:rPr>
          <w:rFonts w:ascii="Arial" w:hAnsi="Arial" w:cs="Arial"/>
          <w:color w:val="000000"/>
        </w:rPr>
        <w:t xml:space="preserve">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Specyfikację </w:t>
      </w:r>
      <w:r w:rsidR="004D712B">
        <w:rPr>
          <w:rFonts w:ascii="Arial" w:hAnsi="Arial" w:cs="Arial"/>
          <w:color w:val="000000"/>
        </w:rPr>
        <w:t xml:space="preserve">Istotnych Warunków Zamówienia </w:t>
      </w:r>
      <w:r>
        <w:rPr>
          <w:rFonts w:ascii="Arial" w:hAnsi="Arial" w:cs="Arial"/>
          <w:color w:val="000000"/>
        </w:rPr>
        <w:t>można uzyskać również bezpośrednio w si</w:t>
      </w:r>
      <w:r w:rsidR="004D712B">
        <w:rPr>
          <w:rFonts w:ascii="Arial" w:hAnsi="Arial" w:cs="Arial"/>
          <w:color w:val="000000"/>
        </w:rPr>
        <w:t>edzibie Z</w:t>
      </w:r>
      <w:r>
        <w:rPr>
          <w:rFonts w:ascii="Arial" w:hAnsi="Arial" w:cs="Arial"/>
          <w:color w:val="000000"/>
        </w:rPr>
        <w:t>amawiającego (</w:t>
      </w:r>
      <w:r w:rsidR="004D712B">
        <w:rPr>
          <w:rFonts w:ascii="Arial" w:hAnsi="Arial" w:cs="Arial"/>
          <w:color w:val="000000"/>
        </w:rPr>
        <w:t>S</w:t>
      </w:r>
      <w:r w:rsidR="00B83A69">
        <w:rPr>
          <w:rFonts w:ascii="Arial" w:hAnsi="Arial" w:cs="Arial"/>
          <w:color w:val="000000"/>
        </w:rPr>
        <w:t>ekretariat</w:t>
      </w:r>
      <w:r>
        <w:rPr>
          <w:rFonts w:ascii="Arial" w:hAnsi="Arial" w:cs="Arial"/>
          <w:color w:val="000000"/>
        </w:rPr>
        <w:t>). Na wniosek Wykonawcy Zamawiający prześle Specyfi</w:t>
      </w:r>
      <w:r w:rsidR="004D712B">
        <w:rPr>
          <w:rFonts w:ascii="Arial" w:hAnsi="Arial" w:cs="Arial"/>
          <w:color w:val="000000"/>
        </w:rPr>
        <w:t>kację za zaliczeniem pocztowym.</w:t>
      </w:r>
    </w:p>
    <w:p w:rsidR="004D712B" w:rsidRPr="00A077D6" w:rsidRDefault="004D712B" w:rsidP="00A07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 xml:space="preserve">Warunki i sposób płatności: </w:t>
      </w:r>
    </w:p>
    <w:p w:rsidR="00A077D6" w:rsidRDefault="004D712B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077D6">
        <w:rPr>
          <w:rFonts w:ascii="Arial" w:hAnsi="Arial" w:cs="Arial"/>
          <w:color w:val="000000"/>
        </w:rPr>
        <w:t>Tylko wersję papierową Zamawiający wykonuje odpłatnie. Opłata pokrywać będzie jedynie koszty wydruku oraz ewentualnego przesłania pocztą, opłatę należy wpłacić przelewem na rachunek bankowy Zamawiającego: Nadsański Bank Spółdzielczy nr rachunku 06 9430 0006 0021 8939 2000 0007.</w:t>
      </w:r>
      <w:r w:rsidR="00A077D6" w:rsidRPr="00A077D6">
        <w:rPr>
          <w:rFonts w:ascii="Arial" w:hAnsi="Arial" w:cs="Arial"/>
          <w:bCs/>
          <w:sz w:val="18"/>
          <w:szCs w:val="18"/>
        </w:rPr>
        <w:t xml:space="preserve"> </w:t>
      </w:r>
    </w:p>
    <w:p w:rsidR="004D712B" w:rsidRDefault="00A077D6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Wysokość opłaty za przesłanie Specyfikacji w wersji papierowej wynosi: 644,50 PLN</w:t>
      </w:r>
      <w:r>
        <w:rPr>
          <w:rFonts w:ascii="Arial" w:hAnsi="Arial" w:cs="Arial"/>
          <w:color w:val="000000"/>
        </w:rPr>
        <w:t>.</w:t>
      </w:r>
    </w:p>
    <w:p w:rsidR="004D712B" w:rsidRDefault="004D712B" w:rsidP="00B8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 w:rsidP="00B8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83A69" w:rsidRPr="00B83A69" w:rsidRDefault="008E1366" w:rsidP="00B8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 Określenie przedmiotu oraz wielkości lub zakresu zamówienia, z podaniem informacji o możliwości składania ofert częściowych:</w:t>
      </w:r>
    </w:p>
    <w:p w:rsidR="00B83A69" w:rsidRDefault="00B83A69" w:rsidP="00B83A6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 przedmiotu zamówienia: 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lastRenderedPageBreak/>
        <w:t>Przedmiotem zamówienia jest zaprojektowanie i budowa Zakładu Mechaniczno-Biologicznego Przetwarzania Odpadów Komunalnych w Stalowej Woli (zwanym dalej ZMBPOK).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Zakład ma mieć przepustowość wystarczającą do przyjmowania i przetwarzania odpadów z obszaru zamieszkałego przez ok. 210 tys. mieszkańców, tj. min. 60 tys. Mg/rok zmieszanych odpadów komunalnych. Zakład ma się składać z części mechanicznej (sortowni) oraz części biologicznej tj. kompostowni i fermentacji poziomej suchej.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Szczegółowy opis przedmiotu zamówienia zawiera Część II - Program Funkcjo</w:t>
      </w:r>
      <w:r w:rsidR="0098797E">
        <w:rPr>
          <w:rFonts w:ascii="Arial" w:hAnsi="Arial" w:cs="Arial"/>
          <w:color w:val="000000"/>
        </w:rPr>
        <w:t xml:space="preserve">nalno- Użytkowy (PFU) </w:t>
      </w:r>
      <w:r w:rsidRPr="00A077D6">
        <w:rPr>
          <w:rFonts w:ascii="Arial" w:hAnsi="Arial" w:cs="Arial"/>
          <w:color w:val="000000"/>
        </w:rPr>
        <w:t xml:space="preserve"> Specyfikacji Istotnych Warunków Zamówienia.</w:t>
      </w:r>
    </w:p>
    <w:p w:rsidR="00A077D6" w:rsidRDefault="00A077D6" w:rsidP="001825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82597" w:rsidRDefault="00182597" w:rsidP="001825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Kody Wspólnego Słownika Zamówień: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Główny przedmiot: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45000000-7</w:t>
      </w:r>
      <w:r w:rsidRPr="000F419E">
        <w:rPr>
          <w:rFonts w:ascii="Arial" w:hAnsi="Arial" w:cs="Arial"/>
          <w:color w:val="000000"/>
        </w:rPr>
        <w:tab/>
        <w:t>Roboty budowlane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45222100-0</w:t>
      </w:r>
      <w:r w:rsidRPr="000F419E">
        <w:rPr>
          <w:rFonts w:ascii="Arial" w:hAnsi="Arial" w:cs="Arial"/>
          <w:color w:val="000000"/>
        </w:rPr>
        <w:tab/>
        <w:t>Roboty budowlane w zakresie zakładów uzdatniania odpadów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42900000-5</w:t>
      </w:r>
      <w:r w:rsidRPr="000F419E">
        <w:rPr>
          <w:rFonts w:ascii="Arial" w:hAnsi="Arial" w:cs="Arial"/>
          <w:color w:val="000000"/>
        </w:rPr>
        <w:tab/>
        <w:t>Różne maszyny ogólnego i specjalnego przeznaczenia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71220000-6</w:t>
      </w:r>
      <w:r w:rsidRPr="000F419E">
        <w:rPr>
          <w:rFonts w:ascii="Arial" w:hAnsi="Arial" w:cs="Arial"/>
          <w:color w:val="000000"/>
        </w:rPr>
        <w:tab/>
        <w:t>Usługi projektowania architektonicznego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Dodatkowe przedmioty: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45111200-0</w:t>
      </w:r>
      <w:r w:rsidRPr="000F419E">
        <w:rPr>
          <w:rFonts w:ascii="Arial" w:hAnsi="Arial" w:cs="Arial"/>
          <w:color w:val="000000"/>
        </w:rPr>
        <w:tab/>
        <w:t>Roboty w zakresie przygotowania terenu pod budowę i roboty ziemne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45111291-4</w:t>
      </w:r>
      <w:r w:rsidRPr="000F419E">
        <w:rPr>
          <w:rFonts w:ascii="Arial" w:hAnsi="Arial" w:cs="Arial"/>
          <w:color w:val="000000"/>
        </w:rPr>
        <w:tab/>
        <w:t>Roboty w zakresie zagospodarowania terenu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45112710-5</w:t>
      </w:r>
      <w:r w:rsidRPr="000F419E">
        <w:rPr>
          <w:rFonts w:ascii="Arial" w:hAnsi="Arial" w:cs="Arial"/>
          <w:color w:val="000000"/>
        </w:rPr>
        <w:tab/>
        <w:t>Roboty w zakresie kształtowania terenów zielonych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45200000-9</w:t>
      </w:r>
      <w:r w:rsidRPr="000F419E">
        <w:rPr>
          <w:rFonts w:ascii="Arial" w:hAnsi="Arial" w:cs="Arial"/>
          <w:color w:val="000000"/>
        </w:rPr>
        <w:tab/>
        <w:t xml:space="preserve">Roboty budowlane w zakresie wznoszenia kompletnych obiektów budowlanych 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Pr="000F419E">
        <w:rPr>
          <w:rFonts w:ascii="Arial" w:hAnsi="Arial" w:cs="Arial"/>
          <w:color w:val="000000"/>
        </w:rPr>
        <w:t>lub ich części oraz roboty w zakresie inżynierii lądowej i wodnej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45222000-9</w:t>
      </w:r>
      <w:r w:rsidRPr="000F419E">
        <w:rPr>
          <w:rFonts w:ascii="Arial" w:hAnsi="Arial" w:cs="Arial"/>
          <w:color w:val="000000"/>
        </w:rPr>
        <w:tab/>
        <w:t xml:space="preserve">Roboty budowlane w zakresie robót inżynieryjnych, z wyjątkiem mostów, tuneli, 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Pr="000F419E">
        <w:rPr>
          <w:rFonts w:ascii="Arial" w:hAnsi="Arial" w:cs="Arial"/>
          <w:color w:val="000000"/>
        </w:rPr>
        <w:t>szybów i kolei podziemnej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45231300-8</w:t>
      </w:r>
      <w:r w:rsidRPr="000F419E">
        <w:rPr>
          <w:rFonts w:ascii="Arial" w:hAnsi="Arial" w:cs="Arial"/>
          <w:color w:val="000000"/>
        </w:rPr>
        <w:tab/>
        <w:t xml:space="preserve">Roboty budowlane w zakresie budowy wodociągów i rurociągów 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Pr="000F419E">
        <w:rPr>
          <w:rFonts w:ascii="Arial" w:hAnsi="Arial" w:cs="Arial"/>
          <w:color w:val="000000"/>
        </w:rPr>
        <w:t>do odprowadzania ścieków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45232130-2</w:t>
      </w:r>
      <w:r w:rsidRPr="000F419E">
        <w:rPr>
          <w:rFonts w:ascii="Arial" w:hAnsi="Arial" w:cs="Arial"/>
          <w:color w:val="000000"/>
        </w:rPr>
        <w:tab/>
        <w:t>Roboty budowlane w zakresie rurociągów do odprowadzania wody burzowej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45232410-9</w:t>
      </w:r>
      <w:r w:rsidRPr="000F419E">
        <w:rPr>
          <w:rFonts w:ascii="Arial" w:hAnsi="Arial" w:cs="Arial"/>
          <w:color w:val="000000"/>
        </w:rPr>
        <w:tab/>
        <w:t>Roboty w zakresie kanalizacji ściekowej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45233140-2</w:t>
      </w:r>
      <w:r w:rsidRPr="000F419E">
        <w:rPr>
          <w:rFonts w:ascii="Arial" w:hAnsi="Arial" w:cs="Arial"/>
          <w:color w:val="000000"/>
        </w:rPr>
        <w:tab/>
        <w:t>Roboty drogowe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45311000-0</w:t>
      </w:r>
      <w:r w:rsidRPr="000F419E">
        <w:rPr>
          <w:rFonts w:ascii="Arial" w:hAnsi="Arial" w:cs="Arial"/>
          <w:color w:val="000000"/>
        </w:rPr>
        <w:tab/>
        <w:t>Roboty w zakresie okablowania oraz instalacji elektrycznych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45315100-9</w:t>
      </w:r>
      <w:r w:rsidRPr="000F419E">
        <w:rPr>
          <w:rFonts w:ascii="Arial" w:hAnsi="Arial" w:cs="Arial"/>
          <w:color w:val="000000"/>
        </w:rPr>
        <w:tab/>
        <w:t>Instalacyjne roboty elektrotechniczne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45315300-1</w:t>
      </w:r>
      <w:r w:rsidRPr="000F419E">
        <w:rPr>
          <w:rFonts w:ascii="Arial" w:hAnsi="Arial" w:cs="Arial"/>
          <w:color w:val="000000"/>
        </w:rPr>
        <w:tab/>
        <w:t>Instalacje zasilania elektrycznego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45330000-9</w:t>
      </w:r>
      <w:r w:rsidRPr="000F419E">
        <w:rPr>
          <w:rFonts w:ascii="Arial" w:hAnsi="Arial" w:cs="Arial"/>
          <w:color w:val="000000"/>
        </w:rPr>
        <w:tab/>
        <w:t>Roboty instalacyjne wodno-kanalizacyjne i sanitarne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45331000-6</w:t>
      </w:r>
      <w:r w:rsidRPr="000F419E">
        <w:rPr>
          <w:rFonts w:ascii="Arial" w:hAnsi="Arial" w:cs="Arial"/>
          <w:color w:val="000000"/>
        </w:rPr>
        <w:tab/>
        <w:t>Instalowanie urządzeń grzewczych, wentylacyjnych i klimatyzacyjnych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45400000-1</w:t>
      </w:r>
      <w:r w:rsidRPr="000F419E">
        <w:rPr>
          <w:rFonts w:ascii="Arial" w:hAnsi="Arial" w:cs="Arial"/>
          <w:color w:val="000000"/>
        </w:rPr>
        <w:tab/>
        <w:t>Roboty wykończeniowe w zakresie obiektów budowlanych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71221000-3</w:t>
      </w:r>
      <w:r w:rsidRPr="000F419E">
        <w:rPr>
          <w:rFonts w:ascii="Arial" w:hAnsi="Arial" w:cs="Arial"/>
          <w:color w:val="000000"/>
        </w:rPr>
        <w:tab/>
        <w:t>Usługi architektoniczne w zakresie obiektów budowlanych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71242000-6</w:t>
      </w:r>
      <w:r w:rsidRPr="000F419E">
        <w:rPr>
          <w:rFonts w:ascii="Arial" w:hAnsi="Arial" w:cs="Arial"/>
          <w:color w:val="000000"/>
        </w:rPr>
        <w:tab/>
        <w:t>Przygotowanie przedsięwzięcia i projektu, oszacowanie kosztów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79421200-3</w:t>
      </w:r>
      <w:r w:rsidRPr="000F419E">
        <w:rPr>
          <w:rFonts w:ascii="Arial" w:hAnsi="Arial" w:cs="Arial"/>
          <w:color w:val="000000"/>
        </w:rPr>
        <w:tab/>
        <w:t>Usługi projektowe inne niż w zakresie robót budowlanych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77211400-6</w:t>
      </w:r>
      <w:r w:rsidRPr="000F419E">
        <w:rPr>
          <w:rFonts w:ascii="Arial" w:hAnsi="Arial" w:cs="Arial"/>
          <w:color w:val="000000"/>
        </w:rPr>
        <w:tab/>
        <w:t>Usługi wycinania drzew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dopuszcza możliwości składania ofert częściowych</w:t>
      </w:r>
      <w:r w:rsidR="00AD4879">
        <w:rPr>
          <w:rFonts w:ascii="Arial" w:hAnsi="Arial" w:cs="Arial"/>
          <w:color w:val="000000"/>
        </w:rPr>
        <w:t>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V. Informacja o możliwości złożenia oferty wariantowej:</w:t>
      </w:r>
    </w:p>
    <w:p w:rsidR="00AD4879" w:rsidRDefault="00AD4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8E1366" w:rsidRDefault="00B83A69" w:rsidP="00AD4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3A69">
        <w:rPr>
          <w:rFonts w:ascii="Arial" w:hAnsi="Arial" w:cs="Arial"/>
          <w:bCs/>
          <w:color w:val="000000"/>
        </w:rPr>
        <w:t>Z</w:t>
      </w:r>
      <w:r w:rsidR="008E1366" w:rsidRPr="00B83A69">
        <w:rPr>
          <w:rFonts w:ascii="Arial" w:hAnsi="Arial" w:cs="Arial"/>
          <w:color w:val="000000"/>
        </w:rPr>
        <w:t>amawiający</w:t>
      </w:r>
      <w:r w:rsidR="008E1366">
        <w:rPr>
          <w:rFonts w:ascii="Arial" w:hAnsi="Arial" w:cs="Arial"/>
          <w:color w:val="000000"/>
        </w:rPr>
        <w:t xml:space="preserve"> nie dopuszcza składania ofert wariantowych</w:t>
      </w: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VI. Termin wykonania zamówienia: </w:t>
      </w:r>
    </w:p>
    <w:p w:rsidR="00A077D6" w:rsidRP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Zakończenie robót: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lastRenderedPageBreak/>
        <w:t>Termin wykonania zamówienia, liczony od daty podpisania umowy z Wykonawcą do daty Protokołu odbioru robót budowlano - montażowych oraz Protokołu końcowego prób przedrozruchowych, nie może być dłuższy niż do 31.08.2014 r.; przy czym ustala się iż termin należytego wykonania umowy rozumiany jako termin do którego zostaną wykonane: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- rozruchy na sucho oraz rozruchy na odpadach,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- eksploatacja przy udziale Wykonawcy,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nie może być dłuższy niż do dnia 31.08.2015 r., tj. daty podpisania Protokołu należytego wykonania przedmiotu zamówienia.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Powyższy okres nie obejmuje 12 miesięcznego okresu zgłaszania wad, który liczony będzie od daty zatwierdzenia przez Zamawiającego i Inżyniera Kontraktu Protokołu należytego wykonania przedmiotu zamówienia dla całości robót, dostaw i usług objętych umową dotyczącą niniejszego zamówienia.</w:t>
      </w:r>
    </w:p>
    <w:p w:rsidR="00A077D6" w:rsidRDefault="00A07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Pr="00B83A69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VII. Warunki udziału w postępowaniu oraz opis sposobu dokonywania oceny spełniania tych warunków: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49C3" w:rsidRPr="00F6322E" w:rsidRDefault="008F49C3" w:rsidP="003C4FCF">
      <w:pPr>
        <w:pStyle w:val="Nagwek2"/>
      </w:pPr>
      <w:r>
        <w:rPr>
          <w:rFonts w:cs="Arial"/>
        </w:rPr>
        <w:t xml:space="preserve">1. </w:t>
      </w:r>
      <w:r w:rsidRPr="00F6322E">
        <w:t>O udzielenie zamówienia mogą ubiegać się Wykonawcy, którzy spełniają następujące warunki: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</w:tblGrid>
      <w:tr w:rsidR="008F49C3" w:rsidRPr="00F6322E" w:rsidTr="004D3689">
        <w:tc>
          <w:tcPr>
            <w:tcW w:w="567" w:type="dxa"/>
            <w:vAlign w:val="center"/>
          </w:tcPr>
          <w:p w:rsidR="008F49C3" w:rsidRPr="00496FDD" w:rsidRDefault="008F49C3" w:rsidP="004D3689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96F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14" w:type="dxa"/>
            <w:vAlign w:val="center"/>
          </w:tcPr>
          <w:p w:rsidR="008F49C3" w:rsidRPr="00496FDD" w:rsidRDefault="008F49C3" w:rsidP="004D3689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</w:rPr>
              <w:t>Warunki oraz opis sposobu dokonywania oceny spełniania tych warunków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Uprawnienia do wykonywania określonej działalności lub czynności, jeżeli przepisy prawa nakładają obowiązek ich posiadania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O udzielenie zamówienia mogą ubiegać się Wykonawcy, którzy spełniają warunki, dotyczące posiadania uprawnień do wykonywania określonej działalności lub czynności, jeżeli przepisy prawa nakładają obowiązek ich posiadania</w:t>
            </w:r>
            <w:r w:rsidRPr="00D76858">
              <w:rPr>
                <w:rFonts w:ascii="Arial" w:hAnsi="Arial" w:cs="Arial"/>
              </w:rPr>
              <w:t>. Ocena spełniania warunków udziału w postępowaniu będzie dokonana na zasadzie spełnia/nie spełnia.</w:t>
            </w:r>
            <w:r w:rsidRPr="00496FDD">
              <w:rPr>
                <w:rFonts w:ascii="Arial" w:hAnsi="Arial" w:cs="Arial"/>
              </w:rPr>
              <w:t xml:space="preserve"> Zamawiający uzna, że warunek jest spełniony</w:t>
            </w:r>
            <w:r w:rsidRPr="00DE29AA">
              <w:rPr>
                <w:rFonts w:ascii="Arial" w:hAnsi="Arial" w:cs="Arial"/>
              </w:rPr>
              <w:t>, gdy Wykonawca oświadczy, że posiada uprawnienia do prowadzenia określonej działalności</w:t>
            </w:r>
            <w:r>
              <w:rPr>
                <w:rFonts w:ascii="Arial" w:hAnsi="Arial" w:cs="Arial"/>
              </w:rPr>
              <w:t xml:space="preserve"> (Załącznik Nr 4 do SIWZ – IDW)</w:t>
            </w:r>
            <w:r w:rsidRPr="00DE29AA">
              <w:rPr>
                <w:rFonts w:ascii="Arial" w:hAnsi="Arial" w:cs="Arial"/>
              </w:rPr>
              <w:t>.</w:t>
            </w:r>
          </w:p>
          <w:p w:rsidR="00A31B07" w:rsidRDefault="00A31B07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C94CE7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Wiedza i doświadczenie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posiadania wiedzy i doświadczenia. Ocena spełniania warunków udziału w postępowaniu będzie dokonana na zasadzie spełnia/nie spełnia. Zamawiający uzna, że warunek jest spełniony, </w:t>
            </w:r>
            <w:r w:rsidRPr="00DE29AA">
              <w:rPr>
                <w:rFonts w:ascii="Arial" w:hAnsi="Arial" w:cs="Arial"/>
              </w:rPr>
              <w:t>gdy Wykonawca oświadczy, że posiada wiedzę i doświadczenie pozwalające na prawidłową realizację zamówienia oraz wykaże się,</w:t>
            </w:r>
            <w:r w:rsidRPr="00496FDD">
              <w:rPr>
                <w:rFonts w:ascii="Arial" w:hAnsi="Arial" w:cs="Arial"/>
              </w:rPr>
              <w:t xml:space="preserve"> iż wykonał zgodnie z zasadami sztuki budowlanej i prawidłowo ukończył co najmniej jedn</w:t>
            </w:r>
            <w:r>
              <w:rPr>
                <w:rFonts w:ascii="Arial" w:hAnsi="Arial" w:cs="Arial"/>
              </w:rPr>
              <w:t>ą</w:t>
            </w:r>
            <w:r w:rsidRPr="00496FDD">
              <w:rPr>
                <w:rFonts w:ascii="Arial" w:hAnsi="Arial" w:cs="Arial"/>
              </w:rPr>
              <w:t xml:space="preserve"> robot</w:t>
            </w:r>
            <w:r>
              <w:rPr>
                <w:rFonts w:ascii="Arial" w:hAnsi="Arial" w:cs="Arial"/>
              </w:rPr>
              <w:t>ę</w:t>
            </w:r>
            <w:r w:rsidRPr="00496FDD">
              <w:rPr>
                <w:rFonts w:ascii="Arial" w:hAnsi="Arial" w:cs="Arial"/>
              </w:rPr>
              <w:t xml:space="preserve"> budowlan</w:t>
            </w:r>
            <w:r>
              <w:rPr>
                <w:rFonts w:ascii="Arial" w:hAnsi="Arial" w:cs="Arial"/>
              </w:rPr>
              <w:t xml:space="preserve">ą </w:t>
            </w:r>
            <w:r w:rsidRPr="00496FDD">
              <w:rPr>
                <w:rFonts w:ascii="Arial" w:hAnsi="Arial" w:cs="Arial"/>
              </w:rPr>
              <w:t xml:space="preserve">w okresie ostatnich </w:t>
            </w:r>
            <w:r>
              <w:rPr>
                <w:rFonts w:ascii="Arial" w:hAnsi="Arial" w:cs="Arial"/>
              </w:rPr>
              <w:t>pięciu</w:t>
            </w:r>
            <w:r w:rsidRPr="00496FDD">
              <w:rPr>
                <w:rFonts w:ascii="Arial" w:hAnsi="Arial" w:cs="Arial"/>
              </w:rPr>
              <w:t xml:space="preserve"> lat </w:t>
            </w:r>
            <w:r>
              <w:rPr>
                <w:rFonts w:ascii="Arial" w:hAnsi="Arial" w:cs="Arial"/>
              </w:rPr>
              <w:t xml:space="preserve">przed upływem terminu składania </w:t>
            </w:r>
            <w:r w:rsidRPr="00496FDD">
              <w:rPr>
                <w:rFonts w:ascii="Arial" w:hAnsi="Arial" w:cs="Arial"/>
              </w:rPr>
              <w:t>ofert,</w:t>
            </w:r>
            <w:r>
              <w:rPr>
                <w:rFonts w:ascii="Arial" w:hAnsi="Arial" w:cs="Arial"/>
              </w:rPr>
              <w:t xml:space="preserve"> </w:t>
            </w:r>
            <w:r w:rsidRPr="00496FDD">
              <w:rPr>
                <w:rFonts w:ascii="Arial" w:hAnsi="Arial" w:cs="Arial"/>
              </w:rPr>
              <w:t>a jeżeli okres prowadzenia działalności jest krótszy - w tym okresie, przedmiotem której było: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wykonanie zakładu zagospodarowania odpadów komunalnych, o wartości zamówienia </w:t>
            </w:r>
            <w:r>
              <w:rPr>
                <w:rFonts w:ascii="Arial" w:hAnsi="Arial" w:cs="Arial"/>
              </w:rPr>
              <w:t>brutt</w:t>
            </w:r>
            <w:r w:rsidRPr="00D768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496FDD">
              <w:rPr>
                <w:rFonts w:ascii="Arial" w:hAnsi="Arial" w:cs="Arial"/>
              </w:rPr>
              <w:t>minimum 50 000 000,00 PLN oraz zakresie zbliżonym do przedmiotu zamówienia, czyli polegającym na realizacji w formule „zaprojektuj i wybuduj” zakładu mechaniczno-</w:t>
            </w:r>
            <w:r w:rsidRPr="00496FDD">
              <w:rPr>
                <w:rFonts w:ascii="Arial" w:hAnsi="Arial" w:cs="Arial"/>
              </w:rPr>
              <w:lastRenderedPageBreak/>
              <w:t xml:space="preserve">biologicznego przetwarzania </w:t>
            </w:r>
            <w:r>
              <w:rPr>
                <w:rFonts w:ascii="Arial" w:hAnsi="Arial" w:cs="Arial"/>
              </w:rPr>
              <w:t>zmieszanych odpadów komunalnych,</w:t>
            </w:r>
            <w:r w:rsidRPr="00496FDD">
              <w:rPr>
                <w:rFonts w:ascii="Arial" w:hAnsi="Arial" w:cs="Arial"/>
              </w:rPr>
              <w:t xml:space="preserve"> w skład którego wchodziły co najmniej następujące instalacje: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29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stacjonarna zautomatyzowana linia</w:t>
            </w:r>
            <w:r w:rsidRPr="00496FDD">
              <w:rPr>
                <w:rFonts w:ascii="Arial" w:hAnsi="Arial" w:cs="Arial"/>
              </w:rPr>
              <w:t xml:space="preserve"> sortowania zmieszanych odpadów komunalnych </w:t>
            </w:r>
            <w:r>
              <w:rPr>
                <w:rFonts w:ascii="Arial" w:hAnsi="Arial" w:cs="Arial"/>
              </w:rPr>
              <w:t>oraz zbieranych selektywnie</w:t>
            </w:r>
            <w:r w:rsidRPr="00496FDD">
              <w:rPr>
                <w:rFonts w:ascii="Arial" w:hAnsi="Arial" w:cs="Arial"/>
              </w:rPr>
              <w:t xml:space="preserve"> o przepu</w:t>
            </w:r>
            <w:r>
              <w:rPr>
                <w:rFonts w:ascii="Arial" w:hAnsi="Arial" w:cs="Arial"/>
              </w:rPr>
              <w:t>stowości minimum 50 000 Mg/rok zlokalizowana w hali, zapewniająca wydzielenie frakcji organicznej kierowanej następnie do przetwarzania w instalacji do przetwarzania biologicznego; wyposażonej w co najmniej następujące urządzenia: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a)</w:t>
            </w:r>
            <w:r w:rsidRPr="0044208A">
              <w:rPr>
                <w:rFonts w:ascii="Arial" w:hAnsi="Arial" w:cs="Arial"/>
              </w:rPr>
              <w:tab/>
              <w:t>stację nadawczą,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b)</w:t>
            </w:r>
            <w:r w:rsidRPr="0044208A">
              <w:rPr>
                <w:rFonts w:ascii="Arial" w:hAnsi="Arial" w:cs="Arial"/>
              </w:rPr>
              <w:tab/>
              <w:t>przenośniki,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c)</w:t>
            </w:r>
            <w:r w:rsidRPr="0044208A">
              <w:rPr>
                <w:rFonts w:ascii="Arial" w:hAnsi="Arial" w:cs="Arial"/>
              </w:rPr>
              <w:tab/>
              <w:t>sito bębnowe,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d)</w:t>
            </w:r>
            <w:r w:rsidRPr="0044208A">
              <w:rPr>
                <w:rFonts w:ascii="Arial" w:hAnsi="Arial" w:cs="Arial"/>
              </w:rPr>
              <w:tab/>
              <w:t>separator metali żelaznych,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e)</w:t>
            </w:r>
            <w:r w:rsidRPr="0044208A">
              <w:rPr>
                <w:rFonts w:ascii="Arial" w:hAnsi="Arial" w:cs="Arial"/>
              </w:rPr>
              <w:tab/>
              <w:t>separator metali nieżelaznych,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f)</w:t>
            </w:r>
            <w:r w:rsidRPr="0044208A">
              <w:rPr>
                <w:rFonts w:ascii="Arial" w:hAnsi="Arial" w:cs="Arial"/>
              </w:rPr>
              <w:tab/>
              <w:t>kabinę sortowniczą,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g)</w:t>
            </w:r>
            <w:r w:rsidRPr="0044208A">
              <w:rPr>
                <w:rFonts w:ascii="Arial" w:hAnsi="Arial" w:cs="Arial"/>
              </w:rPr>
              <w:tab/>
              <w:t>stację automatycznego załadunku balastu,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h)</w:t>
            </w:r>
            <w:r w:rsidRPr="0044208A">
              <w:rPr>
                <w:rFonts w:ascii="Arial" w:hAnsi="Arial" w:cs="Arial"/>
              </w:rPr>
              <w:tab/>
              <w:t>prasę belującą,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i)</w:t>
            </w:r>
            <w:r w:rsidRPr="0044208A">
              <w:rPr>
                <w:rFonts w:ascii="Arial" w:hAnsi="Arial" w:cs="Arial"/>
              </w:rPr>
              <w:tab/>
              <w:t xml:space="preserve">separatory </w:t>
            </w:r>
            <w:proofErr w:type="spellStart"/>
            <w:r w:rsidRPr="0044208A">
              <w:rPr>
                <w:rFonts w:ascii="Arial" w:hAnsi="Arial" w:cs="Arial"/>
              </w:rPr>
              <w:t>optopneumatyczne</w:t>
            </w:r>
            <w:proofErr w:type="spellEnd"/>
            <w:r w:rsidRPr="0044208A">
              <w:rPr>
                <w:rFonts w:ascii="Arial" w:hAnsi="Arial" w:cs="Arial"/>
              </w:rPr>
              <w:t xml:space="preserve"> służące do wydzielenia ze zmieszanych odpadów komunalnych następujących frakcji przeznaczonych do recyklingu: 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•</w:t>
            </w:r>
            <w:r w:rsidRPr="0044208A">
              <w:rPr>
                <w:rFonts w:ascii="Arial" w:hAnsi="Arial" w:cs="Arial"/>
              </w:rPr>
              <w:tab/>
              <w:t>papieru i tektury,</w:t>
            </w:r>
          </w:p>
          <w:p w:rsidR="008F49C3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•</w:t>
            </w:r>
            <w:r w:rsidRPr="0044208A">
              <w:rPr>
                <w:rFonts w:ascii="Arial" w:hAnsi="Arial" w:cs="Arial"/>
              </w:rPr>
              <w:tab/>
              <w:t>frakcji kalorycznej, tj. mieszaniny tworzyw sztucznych m.in.: PET, PE, PP, folii  oraz komponentów RDF (frakcji energetycznej do pr</w:t>
            </w:r>
            <w:r>
              <w:rPr>
                <w:rFonts w:ascii="Arial" w:hAnsi="Arial" w:cs="Arial"/>
              </w:rPr>
              <w:t>odukcji paliwa alternatywnego);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</w:p>
          <w:p w:rsidR="008F49C3" w:rsidRDefault="008F49C3" w:rsidP="008F49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5" w:firstLine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instalacja stabilizacji beztlenowej frakcji wydzielonej ze zmieszanych odpadów komunalnych (fermentacja sucha metanowa, o zawartości suchej masy powyżej 25%, w układzie poziomym, z ciągłym automatycznym załadunkiem i wyładunkiem), o wydajności minimum 15 000 Mg/rok.</w:t>
            </w:r>
          </w:p>
          <w:p w:rsidR="008F49C3" w:rsidRDefault="008F49C3" w:rsidP="004D3689">
            <w:pPr>
              <w:pStyle w:val="Akapitzlist"/>
              <w:spacing w:after="0" w:line="240" w:lineRule="auto"/>
              <w:ind w:left="295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Dostawa i montaż w/w kompletnej instalacji do mechaniczno-biologicznego przetwarzania, instalacji sterowania i wizualizacji, przeprowadzenie prób i rozruchów muszą być potwierdzone Protokołem Odbioru bądź Świadectwem Przejęcia</w:t>
            </w:r>
            <w:r>
              <w:rPr>
                <w:rFonts w:ascii="Arial" w:hAnsi="Arial" w:cs="Arial"/>
              </w:rPr>
              <w:t>, ewentualnie innymi protokołami/dokumentami.</w:t>
            </w:r>
          </w:p>
          <w:p w:rsidR="008F49C3" w:rsidRDefault="008F49C3" w:rsidP="004D3689">
            <w:pPr>
              <w:pStyle w:val="Akapitzlist"/>
              <w:spacing w:after="0" w:line="240" w:lineRule="auto"/>
              <w:ind w:left="295"/>
              <w:jc w:val="both"/>
              <w:rPr>
                <w:rFonts w:ascii="Arial" w:hAnsi="Arial" w:cs="Arial"/>
              </w:rPr>
            </w:pPr>
          </w:p>
          <w:p w:rsidR="008F49C3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również uzna warunek za spełniony jeżeli Wykonawca wykaże przynajmniej dwie odrębne roboty budowlane spośród trzech wymienionych poniżej: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sortownię z odpadów zmieszanych o ww. parametrach,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jedną instalację suchej poziomej fermentacji frakcji organicznej o ww. parametrach,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jedną instalację </w:t>
            </w:r>
            <w:r w:rsidRPr="00863972">
              <w:rPr>
                <w:rFonts w:ascii="Arial" w:hAnsi="Arial" w:cs="Arial"/>
              </w:rPr>
              <w:t>przetwarzania biologicznego (stabilizacji tlenowej) o</w:t>
            </w:r>
            <w:r>
              <w:rPr>
                <w:rFonts w:ascii="Arial" w:hAnsi="Arial" w:cs="Arial"/>
              </w:rPr>
              <w:t xml:space="preserve"> wydajności min. 15 000 Mg/rok.</w:t>
            </w: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655"/>
              <w:jc w:val="both"/>
              <w:rPr>
                <w:rFonts w:ascii="Arial" w:hAnsi="Arial" w:cs="Arial"/>
              </w:rPr>
            </w:pP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D76858">
              <w:rPr>
                <w:rFonts w:ascii="Arial" w:hAnsi="Arial" w:cs="Arial"/>
              </w:rPr>
              <w:t>W przypadku złożenia przez Wykonawcę dokumentu, oświadczenia na potwierdzenie warunków udziału w postępowaniu, z którego będą wynikać kwoty wyrażone w innej walucie niż PLN, Zamawiający dokona przeliczenia na PLN wg średniego kursu Narodowego Banku Polskiego</w:t>
            </w:r>
            <w:r>
              <w:rPr>
                <w:rFonts w:ascii="Arial" w:hAnsi="Arial" w:cs="Arial"/>
              </w:rPr>
              <w:t xml:space="preserve"> </w:t>
            </w:r>
            <w:r w:rsidRPr="00D76858">
              <w:rPr>
                <w:rFonts w:ascii="Arial" w:hAnsi="Arial" w:cs="Arial"/>
              </w:rPr>
              <w:t>z dnia,</w:t>
            </w:r>
            <w:r>
              <w:rPr>
                <w:rFonts w:ascii="Arial" w:hAnsi="Arial" w:cs="Arial"/>
              </w:rPr>
              <w:t xml:space="preserve"> </w:t>
            </w:r>
            <w:r w:rsidRPr="00D76858">
              <w:rPr>
                <w:rFonts w:ascii="Arial" w:hAnsi="Arial" w:cs="Arial"/>
              </w:rPr>
              <w:t>w którym opubli</w:t>
            </w:r>
            <w:r>
              <w:rPr>
                <w:rFonts w:ascii="Arial" w:hAnsi="Arial" w:cs="Arial"/>
              </w:rPr>
              <w:t xml:space="preserve">kowano ogłoszenie o zamówieniu </w:t>
            </w:r>
            <w:r w:rsidRPr="00D76858">
              <w:rPr>
                <w:rFonts w:ascii="Arial" w:hAnsi="Arial" w:cs="Arial"/>
              </w:rPr>
              <w:t>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</w:t>
            </w:r>
            <w:r>
              <w:rPr>
                <w:rFonts w:ascii="Arial" w:hAnsi="Arial" w:cs="Arial"/>
              </w:rPr>
              <w:t>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A502F">
              <w:rPr>
                <w:rFonts w:ascii="Arial" w:hAnsi="Arial" w:cs="Arial"/>
              </w:rPr>
              <w:t xml:space="preserve">W przypadku składania oferty wspólnej przez kilku Wykonawców, warunek </w:t>
            </w:r>
            <w:r>
              <w:rPr>
                <w:rFonts w:ascii="Arial" w:hAnsi="Arial" w:cs="Arial"/>
              </w:rPr>
              <w:t xml:space="preserve">może być </w:t>
            </w:r>
            <w:r>
              <w:rPr>
                <w:rFonts w:ascii="Arial" w:hAnsi="Arial" w:cs="Arial"/>
              </w:rPr>
              <w:lastRenderedPageBreak/>
              <w:t>spełniony przez nich łącznie lub przez jednego z nich</w:t>
            </w:r>
            <w:r w:rsidRPr="004A502F">
              <w:rPr>
                <w:rFonts w:ascii="Arial" w:hAnsi="Arial" w:cs="Arial"/>
              </w:rPr>
              <w:t>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Potencjał techniczny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dysponowania odpowiednim potencjałem technicznym. Ocena spełniania warunków udziału w postępowaniu będzie dokonana na zasadzie spełnia/nie spełnia. Zamawiający uzna, że warunek jest spełniony, </w:t>
            </w:r>
            <w:r w:rsidRPr="00DE29AA">
              <w:rPr>
                <w:rFonts w:ascii="Arial" w:hAnsi="Arial" w:cs="Arial"/>
              </w:rPr>
              <w:t>gdy Wykonawca oświadczy, że dysponuje odpowiednim potencjałem wystarczającym do wykonania zamówienia</w:t>
            </w:r>
            <w:r>
              <w:rPr>
                <w:rFonts w:ascii="Arial" w:hAnsi="Arial" w:cs="Arial"/>
              </w:rPr>
              <w:t xml:space="preserve"> </w:t>
            </w:r>
            <w:r w:rsidRPr="00176234">
              <w:rPr>
                <w:rFonts w:ascii="Arial" w:hAnsi="Arial" w:cs="Arial"/>
              </w:rPr>
              <w:t>(Załącznik Nr 4 do SIWZ – IDW).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C94CE7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Osoby zdolne do wykonania zamówienia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dysponowania osobami zdolnymi do wykonania zamówienia. Ocena spełniania warunków udziału w postępowaniu będzie dokonana na zasadzie spełnia/nie spełnia. Zamawiający uzna, że warunek jest spełniony, </w:t>
            </w:r>
            <w:r w:rsidRPr="00DE29AA">
              <w:rPr>
                <w:rFonts w:ascii="Arial" w:hAnsi="Arial" w:cs="Arial"/>
              </w:rPr>
              <w:t>gdy Wykonawca oświadczy, że dysponuje odpowiednim</w:t>
            </w:r>
            <w:r>
              <w:rPr>
                <w:rFonts w:ascii="Arial" w:hAnsi="Arial" w:cs="Arial"/>
              </w:rPr>
              <w:t>i</w:t>
            </w:r>
            <w:r w:rsidRPr="00DE29AA">
              <w:rPr>
                <w:rFonts w:ascii="Arial" w:hAnsi="Arial" w:cs="Arial"/>
              </w:rPr>
              <w:t xml:space="preserve"> osobami zdolnymi do wykonania zamówienia;</w:t>
            </w:r>
            <w:r w:rsidRPr="00496FDD">
              <w:rPr>
                <w:rFonts w:ascii="Arial" w:hAnsi="Arial" w:cs="Arial"/>
              </w:rPr>
              <w:t xml:space="preserve"> tj</w:t>
            </w:r>
            <w:r>
              <w:rPr>
                <w:rFonts w:ascii="Arial" w:hAnsi="Arial" w:cs="Arial"/>
              </w:rPr>
              <w:t>.:</w:t>
            </w:r>
            <w:r w:rsidRPr="00496FDD">
              <w:rPr>
                <w:rFonts w:ascii="Arial" w:hAnsi="Arial" w:cs="Arial"/>
              </w:rPr>
              <w:t xml:space="preserve"> </w:t>
            </w:r>
          </w:p>
          <w:p w:rsidR="008F49C3" w:rsidRPr="00496FDD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white"/>
              </w:rPr>
            </w:pPr>
            <w:r w:rsidRPr="00496FDD">
              <w:rPr>
                <w:rFonts w:ascii="Arial" w:hAnsi="Arial" w:cs="Arial"/>
                <w:b/>
                <w:highlight w:val="white"/>
              </w:rPr>
              <w:t xml:space="preserve">Przedstawiciel Wykonawcy </w:t>
            </w:r>
            <w:r w:rsidRPr="00496FDD">
              <w:rPr>
                <w:rFonts w:ascii="Arial" w:hAnsi="Arial" w:cs="Arial"/>
                <w:highlight w:val="white"/>
              </w:rPr>
              <w:t xml:space="preserve">- posiadający wykształcenie wyższe techniczne oraz </w:t>
            </w:r>
            <w:r w:rsidRPr="00D76858">
              <w:rPr>
                <w:rFonts w:ascii="Arial" w:hAnsi="Arial" w:cs="Arial"/>
              </w:rPr>
              <w:t>posiadający łącznie co najmniej 5 lat doświadczenia zawodowego przy realizacji inwestycji budowlanych, w tym doświadczenie w kierowaniu przynajmniej jednym zamówieniem na roboty budowlane wraz z projektowaniem</w:t>
            </w:r>
            <w:r>
              <w:rPr>
                <w:rFonts w:ascii="Arial" w:hAnsi="Arial" w:cs="Arial"/>
              </w:rPr>
              <w:t xml:space="preserve">, w skład którego wchodziło realizacja kompletnego projektu budowlanego, uzyskanie stosownych decyzji i pozwoleń, budowa obiektów kubaturowych wraz z dostawą maszyn i urządzeń oraz rozruch technologiczny instalacji o wartości </w:t>
            </w:r>
            <w:r w:rsidRPr="00D76858">
              <w:rPr>
                <w:rFonts w:ascii="Arial" w:hAnsi="Arial" w:cs="Arial"/>
              </w:rPr>
              <w:t>brutto</w:t>
            </w:r>
            <w:r>
              <w:rPr>
                <w:rFonts w:ascii="Arial" w:hAnsi="Arial" w:cs="Arial"/>
              </w:rPr>
              <w:t xml:space="preserve"> </w:t>
            </w:r>
            <w:r w:rsidRPr="00D76858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 </w:t>
            </w:r>
            <w:r w:rsidRPr="00496FDD">
              <w:rPr>
                <w:rFonts w:ascii="Arial" w:hAnsi="Arial" w:cs="Arial"/>
                <w:highlight w:val="white"/>
              </w:rPr>
              <w:t xml:space="preserve">najmniej </w:t>
            </w:r>
            <w:r>
              <w:rPr>
                <w:rFonts w:ascii="Arial" w:hAnsi="Arial" w:cs="Arial"/>
                <w:highlight w:val="white"/>
              </w:rPr>
              <w:t>50 000 000,00 PLN</w:t>
            </w:r>
            <w:r>
              <w:rPr>
                <w:rFonts w:ascii="Arial" w:hAnsi="Arial" w:cs="Arial"/>
              </w:rPr>
              <w:t>.</w:t>
            </w:r>
          </w:p>
          <w:p w:rsidR="008F49C3" w:rsidRPr="00730753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  <w:highlight w:val="white"/>
              </w:rPr>
              <w:t>Kierownik Zespołu Projektowego (Główny Projektant)</w:t>
            </w:r>
            <w:r w:rsidRPr="00496FDD">
              <w:rPr>
                <w:rFonts w:ascii="Arial" w:hAnsi="Arial" w:cs="Arial"/>
                <w:highlight w:val="white"/>
              </w:rPr>
              <w:t xml:space="preserve"> - posiadający uprawnienia budowlane do projektowania bez ograniczeń w specjalności architektonicznej </w:t>
            </w:r>
            <w:r w:rsidR="00163CB9" w:rsidRPr="009D0F8C">
              <w:rPr>
                <w:rFonts w:ascii="Arial" w:hAnsi="Arial" w:cs="Arial"/>
              </w:rPr>
              <w:t>lub</w:t>
            </w:r>
            <w:r w:rsidRPr="00496FDD">
              <w:rPr>
                <w:rFonts w:ascii="Arial" w:hAnsi="Arial" w:cs="Arial"/>
                <w:highlight w:val="white"/>
              </w:rPr>
              <w:t xml:space="preserve"> konstrukcyjnej </w:t>
            </w:r>
            <w:r w:rsidRPr="001707C9">
              <w:rPr>
                <w:rFonts w:ascii="Arial" w:hAnsi="Arial" w:cs="Arial"/>
              </w:rPr>
              <w:t xml:space="preserve">lub odpowiadające im ważne uprawnienia budowlane, w tym wydane na podstawie wcześniej obowiązujących przepisów - w zakresie </w:t>
            </w:r>
            <w:r>
              <w:rPr>
                <w:rFonts w:ascii="Arial" w:hAnsi="Arial" w:cs="Arial"/>
              </w:rPr>
              <w:t>projektowania</w:t>
            </w:r>
            <w:r w:rsidRPr="001707C9">
              <w:rPr>
                <w:rFonts w:ascii="Arial" w:hAnsi="Arial" w:cs="Arial"/>
              </w:rPr>
              <w:t xml:space="preserve"> lub odpowiadające im uprawnienia wydane obywatelom państw Europejskiego Obszaru Gospodarczego oraz Konfederacji Szwajcarskiej, zgodnie z art. 12a oraz inny</w:t>
            </w:r>
            <w:r>
              <w:rPr>
                <w:rFonts w:ascii="Arial" w:hAnsi="Arial" w:cs="Arial"/>
              </w:rPr>
              <w:t>mi</w:t>
            </w:r>
            <w:r w:rsidRPr="001707C9">
              <w:rPr>
                <w:rFonts w:ascii="Arial" w:hAnsi="Arial" w:cs="Arial"/>
              </w:rPr>
              <w:t xml:space="preserve"> przepis</w:t>
            </w:r>
            <w:r>
              <w:rPr>
                <w:rFonts w:ascii="Arial" w:hAnsi="Arial" w:cs="Arial"/>
              </w:rPr>
              <w:t>ami</w:t>
            </w:r>
            <w:r w:rsidRPr="001707C9">
              <w:rPr>
                <w:rFonts w:ascii="Arial" w:hAnsi="Arial" w:cs="Arial"/>
              </w:rPr>
              <w:t xml:space="preserve"> ustawy Prawo Budowlane (tekst jedn</w:t>
            </w:r>
            <w:r>
              <w:rPr>
                <w:rFonts w:ascii="Arial" w:hAnsi="Arial" w:cs="Arial"/>
              </w:rPr>
              <w:t>olity</w:t>
            </w:r>
            <w:r w:rsidRPr="001707C9">
              <w:rPr>
                <w:rFonts w:ascii="Arial" w:hAnsi="Arial" w:cs="Arial"/>
              </w:rPr>
              <w:t xml:space="preserve"> Dz. U. z 2010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 xml:space="preserve">r., Nr 243, poz.1623, z </w:t>
            </w:r>
            <w:proofErr w:type="spellStart"/>
            <w:r w:rsidRPr="001707C9">
              <w:rPr>
                <w:rFonts w:ascii="Arial" w:hAnsi="Arial" w:cs="Arial"/>
              </w:rPr>
              <w:t>późn</w:t>
            </w:r>
            <w:proofErr w:type="spellEnd"/>
            <w:r w:rsidRPr="001707C9">
              <w:rPr>
                <w:rFonts w:ascii="Arial" w:hAnsi="Arial" w:cs="Arial"/>
              </w:rPr>
              <w:t>. zm.) oraz ustawy o zasadach uznawania kwalifikacji zawodowych nabytych w państwach członkowskich Unii Europejskiej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2008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63, poz. 394) oraz art. 20a  ustawy z dnia 15 grudnia 2000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 o samorządach zawodowych architektów, inżynierów budownictwa oraz urbanistów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2001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5</w:t>
            </w:r>
            <w:r>
              <w:rPr>
                <w:rFonts w:ascii="Arial" w:hAnsi="Arial" w:cs="Arial"/>
              </w:rPr>
              <w:t xml:space="preserve">, poz.42,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</w:t>
            </w:r>
            <w:r>
              <w:t xml:space="preserve"> </w:t>
            </w:r>
            <w:r>
              <w:rPr>
                <w:rFonts w:ascii="Arial" w:hAnsi="Arial" w:cs="Arial"/>
              </w:rPr>
              <w:t>oraz</w:t>
            </w:r>
            <w:r>
              <w:t xml:space="preserve"> </w:t>
            </w:r>
            <w:r w:rsidRPr="008F205A">
              <w:rPr>
                <w:rFonts w:ascii="Arial" w:hAnsi="Arial" w:cs="Arial"/>
              </w:rPr>
              <w:t>posiadający co najmniej</w:t>
            </w:r>
            <w:r>
              <w:rPr>
                <w:rFonts w:ascii="Arial" w:hAnsi="Arial" w:cs="Arial"/>
              </w:rPr>
              <w:t xml:space="preserve"> </w:t>
            </w:r>
            <w:r w:rsidRPr="008F205A">
              <w:rPr>
                <w:rFonts w:ascii="Arial" w:hAnsi="Arial" w:cs="Arial"/>
              </w:rPr>
              <w:t>5 lat</w:t>
            </w:r>
            <w:r>
              <w:rPr>
                <w:rFonts w:ascii="Arial" w:hAnsi="Arial" w:cs="Arial"/>
              </w:rPr>
              <w:t xml:space="preserve"> </w:t>
            </w:r>
            <w:r w:rsidRPr="00730753">
              <w:rPr>
                <w:rFonts w:ascii="Arial" w:hAnsi="Arial" w:cs="Arial"/>
                <w:highlight w:val="white"/>
              </w:rPr>
              <w:t>doświadczenia zawodowego przy projektowaniu, w tym: uczestniczył w projektowaniu przynajmniej jednego zakładu mechaniczno-biologicznego przetwarzania odpadów komunalnych zmieszanych, obejmującego sortownię odpadów komunalnych zmieszanych o wydajności co najmniej 50 000 Mg/rok oraz instalacji biologicznego przetwarzania odpadów komunalnych zmieszanych - tj. fermentacji beztlenowej suchej poziomej lub kompostowni o wydajności rocznej minimum 15 000 Mg/rok.</w:t>
            </w:r>
            <w:r w:rsidRPr="00730753">
              <w:rPr>
                <w:rFonts w:ascii="Arial" w:hAnsi="Arial" w:cs="Arial"/>
              </w:rPr>
              <w:t xml:space="preserve"> </w:t>
            </w:r>
          </w:p>
          <w:p w:rsidR="008F49C3" w:rsidRPr="00D76858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</w:rPr>
              <w:t>Kierownik Budowy</w:t>
            </w:r>
            <w:r w:rsidRPr="00496FDD">
              <w:rPr>
                <w:rFonts w:ascii="Arial" w:hAnsi="Arial" w:cs="Arial"/>
              </w:rPr>
              <w:t xml:space="preserve"> - posiadający uprawnienia bez ograniczeń do kierowania robotami budowlanymi w specjalności konstrukcyjno-budowlanej </w:t>
            </w:r>
            <w:r w:rsidRPr="001707C9">
              <w:rPr>
                <w:rFonts w:ascii="Arial" w:hAnsi="Arial" w:cs="Arial"/>
              </w:rPr>
              <w:t xml:space="preserve">lub odpowiadające im ważne uprawnienia budowlane, w tym wydane na podstawie wcześniej obowiązujących przepisów - w zakresie wystarczającym do kierowania robotami </w:t>
            </w:r>
            <w:r>
              <w:rPr>
                <w:rFonts w:ascii="Arial" w:hAnsi="Arial" w:cs="Arial"/>
              </w:rPr>
              <w:t>budowlanymi</w:t>
            </w:r>
            <w:r w:rsidRPr="001707C9">
              <w:rPr>
                <w:rFonts w:ascii="Arial" w:hAnsi="Arial" w:cs="Arial"/>
              </w:rPr>
              <w:t xml:space="preserve"> w zakresie </w:t>
            </w:r>
            <w:r>
              <w:rPr>
                <w:rFonts w:ascii="Arial" w:hAnsi="Arial" w:cs="Arial"/>
              </w:rPr>
              <w:lastRenderedPageBreak/>
              <w:t>robót konstrukcyjno - budowlanych</w:t>
            </w:r>
            <w:r w:rsidRPr="001707C9">
              <w:rPr>
                <w:rFonts w:ascii="Arial" w:hAnsi="Arial" w:cs="Arial"/>
              </w:rPr>
              <w:t xml:space="preserve"> lub odpowiadające im uprawnienia wydane obywatelom państw Europejskiego Obszaru Gospodarczego oraz Konfederacji Szwajcarskiej, zgodnie z art. 12a oraz inny</w:t>
            </w:r>
            <w:r>
              <w:rPr>
                <w:rFonts w:ascii="Arial" w:hAnsi="Arial" w:cs="Arial"/>
              </w:rPr>
              <w:t>mi</w:t>
            </w:r>
            <w:r w:rsidRPr="001707C9">
              <w:rPr>
                <w:rFonts w:ascii="Arial" w:hAnsi="Arial" w:cs="Arial"/>
              </w:rPr>
              <w:t xml:space="preserve"> przepis</w:t>
            </w:r>
            <w:r>
              <w:rPr>
                <w:rFonts w:ascii="Arial" w:hAnsi="Arial" w:cs="Arial"/>
              </w:rPr>
              <w:t>ami</w:t>
            </w:r>
            <w:r w:rsidRPr="001707C9">
              <w:rPr>
                <w:rFonts w:ascii="Arial" w:hAnsi="Arial" w:cs="Arial"/>
              </w:rPr>
              <w:t xml:space="preserve"> ustawy Prawo Budowlane (tekst jedn</w:t>
            </w:r>
            <w:r>
              <w:rPr>
                <w:rFonts w:ascii="Arial" w:hAnsi="Arial" w:cs="Arial"/>
              </w:rPr>
              <w:t>olity</w:t>
            </w:r>
            <w:r w:rsidRPr="001707C9">
              <w:rPr>
                <w:rFonts w:ascii="Arial" w:hAnsi="Arial" w:cs="Arial"/>
              </w:rPr>
              <w:t xml:space="preserve"> Dz. U. z 2010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 xml:space="preserve">r., Nr 243, poz.1623, z </w:t>
            </w:r>
            <w:proofErr w:type="spellStart"/>
            <w:r w:rsidRPr="001707C9">
              <w:rPr>
                <w:rFonts w:ascii="Arial" w:hAnsi="Arial" w:cs="Arial"/>
              </w:rPr>
              <w:t>późn</w:t>
            </w:r>
            <w:proofErr w:type="spellEnd"/>
            <w:r w:rsidRPr="001707C9">
              <w:rPr>
                <w:rFonts w:ascii="Arial" w:hAnsi="Arial" w:cs="Arial"/>
              </w:rPr>
              <w:t>. zm.) oraz ustawy o zasadach uznawania kwalifikacji zawodowych  nabytych w państwach członkowskich Unii Europejskiej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2008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63, poz. 394</w:t>
            </w:r>
            <w:r>
              <w:rPr>
                <w:rFonts w:ascii="Arial" w:hAnsi="Arial" w:cs="Arial"/>
              </w:rPr>
              <w:t xml:space="preserve">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  <w:r w:rsidRPr="001707C9">
              <w:rPr>
                <w:rFonts w:ascii="Arial" w:hAnsi="Arial" w:cs="Arial"/>
              </w:rPr>
              <w:t>) oraz art. 20a  ustawy z dnia 15 grudnia 2000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 o samorządach zawodowych architektów, inżynierów budownictwa oraz urbanistów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2001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5</w:t>
            </w:r>
            <w:r>
              <w:rPr>
                <w:rFonts w:ascii="Arial" w:hAnsi="Arial" w:cs="Arial"/>
              </w:rPr>
              <w:t xml:space="preserve">, poz.42,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 xml:space="preserve">. zm.) </w:t>
            </w:r>
            <w:r w:rsidRPr="00730753">
              <w:rPr>
                <w:rFonts w:ascii="Arial" w:hAnsi="Arial" w:cs="Arial"/>
              </w:rPr>
              <w:t xml:space="preserve">oraz posiadający łącznie </w:t>
            </w:r>
            <w:r w:rsidRPr="00D76858">
              <w:rPr>
                <w:rFonts w:ascii="Arial" w:hAnsi="Arial" w:cs="Arial"/>
              </w:rPr>
              <w:t xml:space="preserve">co najmniej 5 letnie doświadczenie zawodowe w kierowaniu robotami budowlanymi, w tym: przy co najmniej </w:t>
            </w:r>
            <w:r>
              <w:rPr>
                <w:rFonts w:ascii="Arial" w:hAnsi="Arial" w:cs="Arial"/>
              </w:rPr>
              <w:t>jednym</w:t>
            </w:r>
            <w:r w:rsidRPr="00D76858">
              <w:rPr>
                <w:rFonts w:ascii="Arial" w:hAnsi="Arial" w:cs="Arial"/>
              </w:rPr>
              <w:t xml:space="preserve"> obiek</w:t>
            </w:r>
            <w:r>
              <w:rPr>
                <w:rFonts w:ascii="Arial" w:hAnsi="Arial" w:cs="Arial"/>
              </w:rPr>
              <w:t>cie</w:t>
            </w:r>
            <w:r w:rsidRPr="00D76858">
              <w:rPr>
                <w:rFonts w:ascii="Arial" w:hAnsi="Arial" w:cs="Arial"/>
              </w:rPr>
              <w:t xml:space="preserve"> przemysłowy</w:t>
            </w:r>
            <w:r>
              <w:rPr>
                <w:rFonts w:ascii="Arial" w:hAnsi="Arial" w:cs="Arial"/>
              </w:rPr>
              <w:t>m</w:t>
            </w:r>
            <w:r w:rsidRPr="00D76858">
              <w:rPr>
                <w:rFonts w:ascii="Arial" w:hAnsi="Arial" w:cs="Arial"/>
              </w:rPr>
              <w:t xml:space="preserve"> o wartości co najmniej 25 000 000,00 PLN brutto, na stanowisku Kierownika Budowy (od początku budowy do jej zakończenia – tj. przekazania do użytkowania).</w:t>
            </w:r>
          </w:p>
          <w:p w:rsidR="008F49C3" w:rsidRPr="00496FDD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6858">
              <w:rPr>
                <w:rFonts w:ascii="Arial" w:hAnsi="Arial" w:cs="Arial"/>
                <w:b/>
              </w:rPr>
              <w:t xml:space="preserve">Kierownik Rozruchu </w:t>
            </w:r>
            <w:r w:rsidRPr="00D76858">
              <w:rPr>
                <w:rFonts w:ascii="Arial" w:hAnsi="Arial" w:cs="Arial"/>
              </w:rPr>
              <w:t xml:space="preserve">- posiadający wykształcenie wyższe techniczne oraz posiadający łącznie co najmniej </w:t>
            </w:r>
            <w:r>
              <w:rPr>
                <w:rFonts w:ascii="Arial" w:hAnsi="Arial" w:cs="Arial"/>
              </w:rPr>
              <w:t>3</w:t>
            </w:r>
            <w:r w:rsidRPr="000222B1">
              <w:rPr>
                <w:rFonts w:ascii="Arial" w:hAnsi="Arial" w:cs="Arial"/>
              </w:rPr>
              <w:t>-letnie</w:t>
            </w:r>
            <w:r w:rsidRPr="00D76858">
              <w:rPr>
                <w:rFonts w:ascii="Arial" w:hAnsi="Arial" w:cs="Arial"/>
              </w:rPr>
              <w:t xml:space="preserve"> doświadczenie zawodowe w sektorze gospodarki odpadami, w tym: brał udział</w:t>
            </w:r>
            <w:r w:rsidRPr="00496FDD">
              <w:rPr>
                <w:rFonts w:ascii="Arial" w:hAnsi="Arial" w:cs="Arial"/>
              </w:rPr>
              <w:t xml:space="preserve"> w rozruchu co najmniej jednego zakładu mechaniczno-biologicznego przetwarzania odpadów komunalnych zmieszanych. </w:t>
            </w:r>
          </w:p>
          <w:p w:rsidR="008F49C3" w:rsidRPr="00D76858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</w:rPr>
              <w:t xml:space="preserve">Technolog linii sortowniczej </w:t>
            </w:r>
            <w:r w:rsidRPr="00496FDD">
              <w:rPr>
                <w:rFonts w:ascii="Arial" w:hAnsi="Arial" w:cs="Arial"/>
              </w:rPr>
              <w:t xml:space="preserve">– posiadający wykształcenie wyższe </w:t>
            </w:r>
            <w:r>
              <w:rPr>
                <w:rFonts w:ascii="Arial" w:hAnsi="Arial" w:cs="Arial"/>
              </w:rPr>
              <w:t xml:space="preserve">techniczne </w:t>
            </w:r>
            <w:r w:rsidRPr="00496FDD">
              <w:rPr>
                <w:rFonts w:ascii="Arial" w:hAnsi="Arial" w:cs="Arial"/>
              </w:rPr>
              <w:t xml:space="preserve">oraz posiadający łącznie co </w:t>
            </w:r>
            <w:r>
              <w:rPr>
                <w:rFonts w:ascii="Arial" w:hAnsi="Arial" w:cs="Arial"/>
              </w:rPr>
              <w:t>najmniej 3</w:t>
            </w:r>
            <w:r w:rsidRPr="000222B1">
              <w:rPr>
                <w:rFonts w:ascii="Arial" w:hAnsi="Arial" w:cs="Arial"/>
              </w:rPr>
              <w:t>-letnie</w:t>
            </w:r>
            <w:r w:rsidRPr="00D76858">
              <w:rPr>
                <w:rFonts w:ascii="Arial" w:hAnsi="Arial" w:cs="Arial"/>
              </w:rPr>
              <w:t xml:space="preserve"> doświadczenie zawodowe w sektorze gospodarki odpadami, który brał udział samodzielnie lub w zespole na etapie rozruchu w montażu, doborze nastaw maszyn i urządzeń sortowni, w celu optymalizacji pod kątem technologicznym pracy linii sortowniczej</w:t>
            </w:r>
            <w:r>
              <w:rPr>
                <w:rFonts w:ascii="Arial" w:hAnsi="Arial" w:cs="Arial"/>
              </w:rPr>
              <w:t xml:space="preserve"> o </w:t>
            </w:r>
            <w:r w:rsidRPr="00D76858">
              <w:rPr>
                <w:rFonts w:ascii="Arial" w:hAnsi="Arial" w:cs="Arial"/>
              </w:rPr>
              <w:t xml:space="preserve">przepustowości minimum 10 000 Mg/rok zmieszanych odpadów komunalnych, zlokalizowanej w hali/halach przy czym przynajmniej jedna instalacja sortownicza była wyposażona w co najmniej jeden separator </w:t>
            </w:r>
            <w:proofErr w:type="spellStart"/>
            <w:r w:rsidRPr="00D76858">
              <w:rPr>
                <w:rFonts w:ascii="Arial" w:hAnsi="Arial" w:cs="Arial"/>
              </w:rPr>
              <w:t>optopneumatyczny</w:t>
            </w:r>
            <w:proofErr w:type="spellEnd"/>
            <w:r w:rsidRPr="00D76858">
              <w:rPr>
                <w:rFonts w:ascii="Arial" w:hAnsi="Arial" w:cs="Arial"/>
              </w:rPr>
              <w:t>.</w:t>
            </w:r>
          </w:p>
          <w:p w:rsidR="008F49C3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6858">
              <w:rPr>
                <w:rFonts w:ascii="Arial" w:hAnsi="Arial" w:cs="Arial"/>
                <w:b/>
              </w:rPr>
              <w:t>Technolog fermentacji metanowej</w:t>
            </w:r>
            <w:r w:rsidRPr="00D76858">
              <w:rPr>
                <w:rFonts w:ascii="Arial" w:hAnsi="Arial" w:cs="Arial"/>
              </w:rPr>
              <w:t xml:space="preserve">  – posiadający wykształcenie wyższe techniczne oraz posiadający łącznie co </w:t>
            </w:r>
            <w:r>
              <w:rPr>
                <w:rFonts w:ascii="Arial" w:hAnsi="Arial" w:cs="Arial"/>
              </w:rPr>
              <w:t>najmniej 3-</w:t>
            </w:r>
            <w:r w:rsidRPr="000222B1">
              <w:rPr>
                <w:rFonts w:ascii="Arial" w:hAnsi="Arial" w:cs="Arial"/>
              </w:rPr>
              <w:t>letnie</w:t>
            </w:r>
            <w:r w:rsidRPr="00D76858">
              <w:rPr>
                <w:rFonts w:ascii="Arial" w:hAnsi="Arial" w:cs="Arial"/>
              </w:rPr>
              <w:t xml:space="preserve"> doświadczenie zawodowe w sektorze gospodarki odpadami, który brał udział samodzielnie</w:t>
            </w:r>
            <w:r w:rsidRPr="00496FDD">
              <w:rPr>
                <w:rFonts w:ascii="Arial" w:hAnsi="Arial" w:cs="Arial"/>
              </w:rPr>
              <w:t xml:space="preserve"> lub</w:t>
            </w:r>
            <w:r>
              <w:rPr>
                <w:rFonts w:ascii="Arial" w:hAnsi="Arial" w:cs="Arial"/>
              </w:rPr>
              <w:t xml:space="preserve"> w zespole na etapie rozruchu instalacji </w:t>
            </w:r>
            <w:r w:rsidRPr="00496FDD">
              <w:rPr>
                <w:rFonts w:ascii="Arial" w:hAnsi="Arial" w:cs="Arial"/>
              </w:rPr>
              <w:t>fermentacji metanowej frakcji organicznej pochodzącej ze zmieszanych odpadów komunalnych o minimalnej przepustowości 5 000 Mg/rok, przy czym proces w którym brał udział zakończył się powodzeniem rozumianym jako osiągnięcie założonych przez Zamawiającego</w:t>
            </w:r>
            <w:r>
              <w:rPr>
                <w:rFonts w:ascii="Arial" w:hAnsi="Arial" w:cs="Arial"/>
              </w:rPr>
              <w:t>/Inwestora</w:t>
            </w:r>
            <w:r w:rsidRPr="00496FDD">
              <w:rPr>
                <w:rFonts w:ascii="Arial" w:hAnsi="Arial" w:cs="Arial"/>
              </w:rPr>
              <w:t xml:space="preserve"> wskaźni</w:t>
            </w:r>
            <w:r>
              <w:rPr>
                <w:rFonts w:ascii="Arial" w:hAnsi="Arial" w:cs="Arial"/>
              </w:rPr>
              <w:t>ków produkcji biogazu w komorze; potwierdzonych stosownymi dokumentami, tj. np. protokół przez Operatora lub Zamawiającego.</w:t>
            </w:r>
          </w:p>
          <w:p w:rsidR="008F49C3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0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Wszystkie osoby, wskazane powyżej winny posługiwać się językiem polskim lub dysponować na stałe tłumaczem języka polskiego, zatrudnionym na własny koszt przez Wykonawcę, zapewniającym stałe i biegłe tłumaczenie w kontaktach między Zamawiającym a tymi osobami.</w:t>
            </w: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Zamawiający  dopuszcza łączenie funkcji, tj. pełnienie jednocześnie przez jedną osobę dwóch funkcji, z wyłączeniem funkcji Przedstawiciela Wykonawcy oraz Kierownika Budowy.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C66D5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Sytuacja ekonomiczna i finansowa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sytuacji ekonomicznej i finansowej. Ocena spełniania warunków udziału w postępowaniu będzie dokonana na zasadzie spełnia/nie spełnia. Zamawiający uzna, że warunek jest spełniony, gdy Wykonawca </w:t>
            </w:r>
            <w:r w:rsidRPr="00DE29AA">
              <w:rPr>
                <w:rFonts w:ascii="Arial" w:hAnsi="Arial" w:cs="Arial"/>
              </w:rPr>
              <w:t>oświadczy, że znajduje się w sytuacji ekonomicznej i finansowej umożliwiającej wykonanie zamówienia oraz</w:t>
            </w:r>
            <w:r w:rsidRPr="00496FDD">
              <w:rPr>
                <w:rFonts w:ascii="Arial" w:hAnsi="Arial" w:cs="Arial"/>
              </w:rPr>
              <w:t xml:space="preserve"> udokumentuje</w:t>
            </w:r>
            <w:r>
              <w:rPr>
                <w:rFonts w:ascii="Arial" w:hAnsi="Arial" w:cs="Arial"/>
              </w:rPr>
              <w:t>:</w:t>
            </w:r>
          </w:p>
          <w:p w:rsidR="008F49C3" w:rsidRDefault="008F49C3" w:rsidP="008F49C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posiadanie środków finansowych lub posiadanie zdolności kr</w:t>
            </w:r>
            <w:r>
              <w:rPr>
                <w:rFonts w:ascii="Arial" w:hAnsi="Arial" w:cs="Arial"/>
              </w:rPr>
              <w:t>edytowej w kwocie</w:t>
            </w:r>
          </w:p>
          <w:p w:rsidR="008F49C3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lastRenderedPageBreak/>
              <w:t>minimum 50 000 000,00 PLN;</w:t>
            </w:r>
          </w:p>
          <w:p w:rsidR="008F49C3" w:rsidRPr="000222B1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</w:rPr>
            </w:pPr>
            <w:r w:rsidRPr="00730753">
              <w:rPr>
                <w:rFonts w:ascii="Arial" w:hAnsi="Arial" w:cs="Arial"/>
              </w:rPr>
              <w:t xml:space="preserve">W przypadku składania oferty wspólnej przez kilku Wykonawców, warunek może być spełniony przez nich łącznie lub przez </w:t>
            </w:r>
            <w:r w:rsidRPr="000222B1">
              <w:rPr>
                <w:rFonts w:ascii="Arial" w:hAnsi="Arial" w:cs="Arial"/>
              </w:rPr>
              <w:t>jednego z nich.</w:t>
            </w:r>
          </w:p>
          <w:p w:rsidR="008F49C3" w:rsidRPr="000222B1" w:rsidRDefault="008F49C3" w:rsidP="008F49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222B1">
              <w:rPr>
                <w:rFonts w:ascii="Arial" w:hAnsi="Arial" w:cs="Arial"/>
              </w:rPr>
              <w:t xml:space="preserve">posiadanie ubezpieczenia od odpowiedzialności cywilnej deliktowej i kontraktowej w tym zawodowej, w zakresie prowadzonej działalności związanej z przedmiotem zamówienia, na kwotę nie mniejszą niż 10 000 000,00 PLN na jedno i wszystkie zdarzenia. Dopuszczalne jest złożenie jednej polisy obejmującej zaprojektowanie i wykonanie robót budowlanych lub dwóch polis, jednej na zaprojektowanie a drugiej na wykonanie robót budowlanych. Wartości kwotowe polis podlegają sumowaniu. </w:t>
            </w:r>
          </w:p>
          <w:p w:rsidR="008F49C3" w:rsidRPr="000222B1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222B1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 Zamawiający dopuszcza łączenie polis w zakresie kwoty i przedmiotu ubezpieczenia.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222B1">
              <w:rPr>
                <w:rFonts w:ascii="Arial" w:hAnsi="Arial" w:cs="Arial"/>
              </w:rPr>
              <w:t>W przypadku złożenia przez Wykonawcę dokumentu, oświadczenia na potwierdzenie warunków udziału w postępowaniu, z którego będą</w:t>
            </w:r>
            <w:r w:rsidRPr="00D76858">
              <w:rPr>
                <w:rFonts w:ascii="Arial" w:hAnsi="Arial" w:cs="Arial"/>
              </w:rPr>
              <w:t xml:space="preserve"> wynikać kwoty wyrażone w innej walucie niż PLN, Zamawiający dokona przeliczenia na PLN wg średniego kursu Narodowego Banku Polskiego z dnia, w którym opubli</w:t>
            </w:r>
            <w:r>
              <w:rPr>
                <w:rFonts w:ascii="Arial" w:hAnsi="Arial" w:cs="Arial"/>
              </w:rPr>
              <w:t xml:space="preserve">kowano ogłoszenie o zamówieniu </w:t>
            </w:r>
            <w:r w:rsidRPr="00D76858">
              <w:rPr>
                <w:rFonts w:ascii="Arial" w:hAnsi="Arial" w:cs="Arial"/>
              </w:rPr>
              <w:t>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82597" w:rsidRDefault="00182597" w:rsidP="00B17C3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A21DD">
        <w:rPr>
          <w:rFonts w:ascii="Arial" w:hAnsi="Arial" w:cs="Arial"/>
          <w:color w:val="00000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Wykonawcy, którzy nie wykażą spełnienia warunków udziału w postępowaniu podlegać będą wykluczeniu z udziału w postępowaniu. </w:t>
      </w: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 udziału w niniej</w:t>
      </w:r>
      <w:r w:rsidR="008F49C3">
        <w:rPr>
          <w:rFonts w:ascii="Arial" w:hAnsi="Arial" w:cs="Arial"/>
          <w:color w:val="000000"/>
        </w:rPr>
        <w:t>szym postępowaniu wyklucza się W</w:t>
      </w:r>
      <w:r>
        <w:rPr>
          <w:rFonts w:ascii="Arial" w:hAnsi="Arial" w:cs="Arial"/>
          <w:color w:val="000000"/>
        </w:rPr>
        <w:t>ykonawców, którzy podlegają wykluczeniu na podstawie art. 24 ust. 1 i 2 Prawa zamówień publicznych.</w:t>
      </w:r>
    </w:p>
    <w:p w:rsidR="00182597" w:rsidRDefault="008F49C3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Ofertę W</w:t>
      </w:r>
      <w:r w:rsidR="00182597">
        <w:rPr>
          <w:rFonts w:ascii="Arial" w:hAnsi="Arial" w:cs="Arial"/>
          <w:color w:val="000000"/>
        </w:rPr>
        <w:t>ykonawcy wykluczonego uznaje się za odrzuconą.</w:t>
      </w:r>
    </w:p>
    <w:p w:rsidR="00182597" w:rsidRDefault="00182597" w:rsidP="00B17C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Zamawiający odrzuca ofertę, jeżeli: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jest niezgodna z ustaw</w:t>
      </w:r>
      <w:r w:rsidR="008F49C3" w:rsidRPr="007A4446">
        <w:rPr>
          <w:rFonts w:ascii="TimesNewRoman" w:eastAsia="TimesNewRoman" w:hint="eastAsia"/>
        </w:rPr>
        <w:t>ą</w:t>
      </w:r>
      <w:r w:rsidR="008F49C3" w:rsidRPr="007A4446">
        <w:t>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jej tre</w:t>
      </w:r>
      <w:r w:rsidR="008F49C3" w:rsidRPr="007A4446">
        <w:rPr>
          <w:rFonts w:ascii="TimesNewRoman" w:eastAsia="TimesNewRoman" w:hint="eastAsia"/>
        </w:rPr>
        <w:t>ść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nie odpowiada tre</w:t>
      </w:r>
      <w:r w:rsidR="008F49C3" w:rsidRPr="007A4446">
        <w:rPr>
          <w:rFonts w:ascii="TimesNewRoman" w:eastAsia="TimesNewRoman" w:hint="eastAsia"/>
        </w:rPr>
        <w:t>ś</w:t>
      </w:r>
      <w:r w:rsidR="008F49C3" w:rsidRPr="007A4446">
        <w:t xml:space="preserve">ci </w:t>
      </w:r>
      <w:r w:rsidR="008F49C3">
        <w:t>S</w:t>
      </w:r>
      <w:r w:rsidR="008F49C3" w:rsidRPr="007A4446">
        <w:t xml:space="preserve">pecyfikacji </w:t>
      </w:r>
      <w:r w:rsidR="008F49C3">
        <w:t>I</w:t>
      </w:r>
      <w:r w:rsidR="008F49C3" w:rsidRPr="007A4446">
        <w:t xml:space="preserve">stotnych </w:t>
      </w:r>
      <w:r w:rsidR="008F49C3">
        <w:t>W</w:t>
      </w:r>
      <w:r w:rsidR="008F49C3" w:rsidRPr="007A4446">
        <w:t xml:space="preserve">arunków </w:t>
      </w:r>
      <w:r w:rsidR="008F49C3">
        <w:t>Z</w:t>
      </w:r>
      <w:r w:rsidR="008F49C3" w:rsidRPr="007A4446">
        <w:t>amówienia, z zastrze</w:t>
      </w:r>
      <w:r w:rsidR="008F49C3" w:rsidRPr="007A4446">
        <w:rPr>
          <w:rFonts w:ascii="TimesNewRoman" w:eastAsia="TimesNewRoman"/>
        </w:rPr>
        <w:t>ż</w:t>
      </w:r>
      <w:r w:rsidR="008F49C3" w:rsidRPr="007A4446">
        <w:t xml:space="preserve">eniem </w:t>
      </w:r>
      <w:r w:rsidR="008F49C3" w:rsidRPr="00B74520">
        <w:t>pkt 11 lit. c</w:t>
      </w:r>
      <w:r w:rsidR="009E1F53">
        <w:t xml:space="preserve"> IDW</w:t>
      </w:r>
      <w:r w:rsidR="008F49C3" w:rsidRPr="00B74520">
        <w:t>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jej zło</w:t>
      </w:r>
      <w:r w:rsidR="008F49C3" w:rsidRPr="007A4446">
        <w:rPr>
          <w:rFonts w:ascii="TimesNewRoman" w:eastAsia="TimesNewRoman"/>
        </w:rPr>
        <w:t>ż</w:t>
      </w:r>
      <w:r w:rsidR="008F49C3" w:rsidRPr="007A4446">
        <w:t>enie stanowi czyn nieuczciwej konkurencji w rozumieniu przepisów o zwalczaniu nieuczciwej konkurencji;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zawiera ra</w:t>
      </w:r>
      <w:r w:rsidR="008F49C3" w:rsidRPr="007A4446">
        <w:rPr>
          <w:rFonts w:ascii="TimesNewRoman" w:eastAsia="TimesNewRoman"/>
        </w:rPr>
        <w:t>ż</w:t>
      </w:r>
      <w:r w:rsidR="008F49C3" w:rsidRPr="007A4446">
        <w:rPr>
          <w:rFonts w:ascii="TimesNewRoman" w:eastAsia="TimesNewRoman" w:hint="eastAsia"/>
        </w:rPr>
        <w:t>ą</w:t>
      </w:r>
      <w:r w:rsidR="008F49C3" w:rsidRPr="007A4446">
        <w:t>co nisk</w:t>
      </w:r>
      <w:r w:rsidR="008F49C3" w:rsidRPr="007A4446">
        <w:rPr>
          <w:rFonts w:ascii="TimesNewRoman" w:eastAsia="TimesNewRoman" w:hint="eastAsia"/>
        </w:rPr>
        <w:t>ą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cen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w stosunku do przedmiotu zamówienia;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została zło</w:t>
      </w:r>
      <w:r w:rsidR="008F49C3" w:rsidRPr="007A4446">
        <w:rPr>
          <w:rFonts w:ascii="TimesNewRoman" w:eastAsia="TimesNewRoman"/>
        </w:rPr>
        <w:t>ż</w:t>
      </w:r>
      <w:r w:rsidR="008F49C3" w:rsidRPr="007A4446">
        <w:t>ona przez Wykonawc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wykluczonego z udziału w post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powaniu o udzielenie zamówienia lub niezaproszonego do składania ofert;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zawiera bł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dy w obliczeniu ceny;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Wykonawca w terminie 3 dni od dnia dor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czenia zawiadomienia nie zgodził si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 xml:space="preserve">na poprawienie omyłki, o której mowa w </w:t>
      </w:r>
      <w:r w:rsidR="008F49C3" w:rsidRPr="00B74520">
        <w:t>pkt 11 lit. c</w:t>
      </w:r>
      <w:r w:rsidR="009E1F53">
        <w:t xml:space="preserve"> IDW</w:t>
      </w:r>
      <w:r w:rsidR="008F49C3" w:rsidRPr="00B74520">
        <w:t>;</w:t>
      </w:r>
    </w:p>
    <w:p w:rsidR="008F49C3" w:rsidRPr="007A4446" w:rsidRDefault="00B17C31" w:rsidP="00B17C31">
      <w:pPr>
        <w:pStyle w:val="Nagwek2"/>
        <w:jc w:val="both"/>
      </w:pPr>
      <w:r>
        <w:lastRenderedPageBreak/>
        <w:t xml:space="preserve">- </w:t>
      </w:r>
      <w:r w:rsidR="008F49C3">
        <w:t>j</w:t>
      </w:r>
      <w:r w:rsidR="008F49C3" w:rsidRPr="007A4446">
        <w:t>est niewa</w:t>
      </w:r>
      <w:r w:rsidR="008F49C3" w:rsidRPr="007A4446">
        <w:rPr>
          <w:rFonts w:ascii="TimesNewRoman" w:eastAsia="TimesNewRoman"/>
        </w:rPr>
        <w:t>ż</w:t>
      </w:r>
      <w:r w:rsidR="008F49C3" w:rsidRPr="007A4446">
        <w:t>na na podstawie odr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bnych przepisów.</w:t>
      </w:r>
    </w:p>
    <w:p w:rsidR="00182597" w:rsidRPr="008F49C3" w:rsidRDefault="00182597" w:rsidP="00B17C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Ocena spełnienia warunków udziału w postępowaniu dokonywana będzie w opa</w:t>
      </w:r>
      <w:r w:rsidR="008F49C3">
        <w:rPr>
          <w:rFonts w:ascii="Arial" w:hAnsi="Arial" w:cs="Arial"/>
          <w:color w:val="000000"/>
        </w:rPr>
        <w:t>rciu o dokumenty złożone przez W</w:t>
      </w:r>
      <w:r>
        <w:rPr>
          <w:rFonts w:ascii="Arial" w:hAnsi="Arial" w:cs="Arial"/>
          <w:color w:val="000000"/>
        </w:rPr>
        <w:t>ykonawcę w niniejszym postępowaniu metodą warunku granicznego - spełnia/niespełna.</w:t>
      </w: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Pr="00A31B07" w:rsidRDefault="008E1366" w:rsidP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VIII. Informacja na temat wadium:</w:t>
      </w:r>
    </w:p>
    <w:p w:rsidR="008F49C3" w:rsidRPr="003F6F76" w:rsidRDefault="008F49C3" w:rsidP="0052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6F76">
        <w:rPr>
          <w:rFonts w:ascii="Arial" w:hAnsi="Arial" w:cs="Arial"/>
          <w:color w:val="000000"/>
        </w:rPr>
        <w:t>Ustala się wadium dla całości przedmiotu zamówienia w wysokości: 1 500 000,00 PLN, słownie: jeden milion pięćset tysięcy złotych zero groszy.</w:t>
      </w:r>
    </w:p>
    <w:p w:rsidR="008F49C3" w:rsidRPr="003F6F76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3F6F76">
        <w:rPr>
          <w:rFonts w:ascii="Arial" w:hAnsi="Arial" w:cs="Arial"/>
        </w:rPr>
        <w:t>Wadium nal</w:t>
      </w:r>
      <w:r w:rsidR="009E1F53">
        <w:rPr>
          <w:rFonts w:ascii="Arial" w:hAnsi="Arial" w:cs="Arial"/>
        </w:rPr>
        <w:t xml:space="preserve">eży wnieść w terminie do dnia </w:t>
      </w:r>
      <w:r w:rsidR="00163CB9" w:rsidRPr="009D0F8C">
        <w:rPr>
          <w:rFonts w:ascii="Arial" w:hAnsi="Arial" w:cs="Arial"/>
        </w:rPr>
        <w:t>10</w:t>
      </w:r>
      <w:r w:rsidRPr="009D0F8C">
        <w:rPr>
          <w:rFonts w:ascii="Arial" w:hAnsi="Arial" w:cs="Arial"/>
        </w:rPr>
        <w:t>.12.2012</w:t>
      </w:r>
      <w:r w:rsidRPr="003F6F76">
        <w:rPr>
          <w:rFonts w:ascii="Arial" w:hAnsi="Arial" w:cs="Arial"/>
        </w:rPr>
        <w:t xml:space="preserve"> r. do godz. 12.00.</w:t>
      </w:r>
    </w:p>
    <w:p w:rsidR="008F49C3" w:rsidRPr="003F6F76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3F6F76">
        <w:rPr>
          <w:rFonts w:ascii="Arial" w:hAnsi="Arial" w:cs="Arial"/>
        </w:rPr>
        <w:t>Wadium może być wnoszone w jednej lub kilku następujących formach:</w:t>
      </w:r>
    </w:p>
    <w:p w:rsid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pieniądzu, przelewem na rachunek bankowy Zamawiającego: </w:t>
      </w:r>
    </w:p>
    <w:p w:rsidR="008F49C3" w:rsidRPr="000222B1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0222B1">
        <w:rPr>
          <w:rFonts w:ascii="Arial" w:hAnsi="Arial" w:cs="Arial"/>
        </w:rPr>
        <w:t>Nadsański Bank Spółdzielczy nr rachunku 06 9430 0006 0021 8939 2000 0007</w:t>
      </w:r>
      <w:r w:rsidRPr="000222B1">
        <w:rPr>
          <w:rFonts w:ascii="Arial" w:hAnsi="Arial" w:cs="Arial"/>
          <w:color w:val="000000"/>
        </w:rPr>
        <w:t>,</w:t>
      </w:r>
      <w:r w:rsidRPr="000222B1">
        <w:rPr>
          <w:rFonts w:ascii="Arial" w:hAnsi="Arial" w:cs="Arial"/>
        </w:rPr>
        <w:t xml:space="preserve"> </w:t>
      </w:r>
    </w:p>
    <w:p w:rsidR="008F49C3" w:rsidRPr="000222B1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0222B1">
        <w:rPr>
          <w:rFonts w:ascii="Arial" w:hAnsi="Arial" w:cs="Arial"/>
        </w:rPr>
        <w:t>Kod Swift (wymagany przy przelewach międzynarodowych): POLUPLPR,</w:t>
      </w:r>
    </w:p>
    <w:p w:rsid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0222B1">
        <w:rPr>
          <w:rFonts w:ascii="Arial" w:hAnsi="Arial" w:cs="Arial"/>
          <w:color w:val="000000"/>
        </w:rPr>
        <w:t>z adnotacją „Wadium – Budowa Zakładu Mechaniczno</w:t>
      </w:r>
      <w:r w:rsidRPr="004B4EC6">
        <w:rPr>
          <w:rFonts w:ascii="Arial" w:hAnsi="Arial" w:cs="Arial"/>
          <w:color w:val="000000"/>
        </w:rPr>
        <w:t xml:space="preserve">-Biologicznego Przetwarzania Odpadów Komunalnych w Stalowej Woli </w:t>
      </w:r>
      <w:r>
        <w:rPr>
          <w:rFonts w:ascii="Arial" w:hAnsi="Arial" w:cs="Arial"/>
          <w:color w:val="000000"/>
        </w:rPr>
        <w:t xml:space="preserve">", </w:t>
      </w: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</w:r>
      <w:r w:rsidRPr="00EE7460">
        <w:rPr>
          <w:rFonts w:ascii="Arial" w:hAnsi="Arial" w:cs="Arial"/>
          <w:color w:val="000000"/>
        </w:rPr>
        <w:t>poręczeniach bankowych lub poręczeniach spół</w:t>
      </w:r>
      <w:r>
        <w:rPr>
          <w:rFonts w:ascii="Arial" w:hAnsi="Arial" w:cs="Arial"/>
          <w:color w:val="000000"/>
        </w:rPr>
        <w:t xml:space="preserve">dzielczej kasy oszczędnościowo- </w:t>
      </w:r>
      <w:r w:rsidRPr="00EE7460">
        <w:rPr>
          <w:rFonts w:ascii="Arial" w:hAnsi="Arial" w:cs="Arial"/>
          <w:color w:val="000000"/>
        </w:rPr>
        <w:t>kredytowej, z tym że poręczenie k</w:t>
      </w:r>
      <w:r>
        <w:rPr>
          <w:rFonts w:ascii="Arial" w:hAnsi="Arial" w:cs="Arial"/>
          <w:color w:val="000000"/>
        </w:rPr>
        <w:t>asy jest zawsze poręczeniem pieniężnym,</w:t>
      </w: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 xml:space="preserve">gwarancjach bankowych, </w:t>
      </w: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 xml:space="preserve">gwarancjach ubezpieczeniowych, </w:t>
      </w:r>
    </w:p>
    <w:p w:rsidR="008F49C3" w:rsidRPr="00AA663C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highlight w:val="green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</w:r>
      <w:r w:rsidRPr="00E82E22">
        <w:rPr>
          <w:rFonts w:ascii="Arial" w:hAnsi="Arial" w:cs="Arial"/>
          <w:color w:val="000000"/>
        </w:rPr>
        <w:t>poręczeniach udzielanych przez podmioty, o których mowa w art. 6b ust. 5 pkt 2 ustawy z dnia 9 listopada 2000 r. o utworzeniu Polskiej Agencji Rozwoju Przedsiębiorczości (Dz. U. z 2007 r. Nr 42, poz. 275, z 2008 r. Nr 116, poz. 730 i 732 i Nr 227, poz. 1505 oraz z 2010 r. Nr 96, poz. 620).</w:t>
      </w:r>
    </w:p>
    <w:p w:rsid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AD1CD8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 w:rsidRPr="004B4EC6">
        <w:rPr>
          <w:rFonts w:ascii="Arial" w:hAnsi="Arial" w:cs="Arial"/>
        </w:rPr>
        <w:t>Dowód wpłaty wadium należy złożyć wraz z ofertą.</w:t>
      </w:r>
      <w:r>
        <w:rPr>
          <w:rFonts w:ascii="Arial" w:hAnsi="Arial" w:cs="Arial"/>
        </w:rPr>
        <w:t xml:space="preserve"> </w:t>
      </w:r>
      <w:r w:rsidRPr="005E1E0F">
        <w:rPr>
          <w:rFonts w:ascii="Arial" w:hAnsi="Arial" w:cs="Arial"/>
        </w:rPr>
        <w:t xml:space="preserve">Wadium wnoszone w formie innej niż pieniądz należy złożyć wraz z ofertą w formie </w:t>
      </w:r>
      <w:r w:rsidR="00163CB9" w:rsidRPr="009D0F8C">
        <w:rPr>
          <w:rFonts w:ascii="Arial" w:hAnsi="Arial" w:cs="Arial"/>
        </w:rPr>
        <w:t>oryginału</w:t>
      </w:r>
      <w:r w:rsidRPr="009D0F8C">
        <w:rPr>
          <w:rFonts w:ascii="Arial" w:hAnsi="Arial" w:cs="Arial"/>
        </w:rPr>
        <w:t>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musi obejmować cały okres związania ofertą. Wadim wnoszone w formie poręczeń i gwarancji powinno być bezwarunkowe, nieodwołalne i płatne na pierwsze żądanie.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 w:rsidRPr="00C927BD">
        <w:rPr>
          <w:rFonts w:ascii="Arial" w:hAnsi="Arial" w:cs="Arial"/>
        </w:rPr>
        <w:t>Zamawiający nie wyraża zgody, aby żądanie zapłaty musiało być przekazane za pośrednictwem banku prowadzącego rachunek beneficjenta gwarancji lub jakiegokolwiek innego banku.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 w:rsidRPr="00C927BD">
        <w:rPr>
          <w:rFonts w:ascii="Arial" w:hAnsi="Arial" w:cs="Arial"/>
        </w:rPr>
        <w:t>W przypadku Wykonawców wspólnie ubiegających się o udzielenie zamówienia z gwarancji (poręczenia) winno wynikać, że dotyczy ona (ono) wszystkich podmiotów wspólnie ubiegających się o udzielenie zamówienia.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012">
        <w:rPr>
          <w:rFonts w:ascii="Arial" w:hAnsi="Arial" w:cs="Arial"/>
        </w:rPr>
        <w:t xml:space="preserve">Za termin wniesienia wadium w formie przelewu pieniężnego </w:t>
      </w:r>
      <w:r w:rsidR="00B17C31">
        <w:rPr>
          <w:rFonts w:ascii="Arial" w:hAnsi="Arial" w:cs="Arial"/>
        </w:rPr>
        <w:t xml:space="preserve">przyjmuje się termin uznania na </w:t>
      </w:r>
      <w:r w:rsidRPr="00B60012">
        <w:rPr>
          <w:rFonts w:ascii="Arial" w:hAnsi="Arial" w:cs="Arial"/>
        </w:rPr>
        <w:t>rachunku Zamawiającego.</w:t>
      </w:r>
    </w:p>
    <w:p w:rsidR="008F49C3" w:rsidRPr="00B60012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Wadium wniesione w pieniądzu Zamawiający przechowuje na rachunku bankowym.</w:t>
      </w:r>
    </w:p>
    <w:p w:rsidR="008F49C3" w:rsidRPr="00B60012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Wykonawca zobowiązany jest wnieść wadium na okres związania ofertą.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zwraca wadium wszystkim Wykonawcom niezwłocznie po wyborze oferty najkorzystniejszej lub unieważnieniu postępowania, z wyjątkiem Wykonawcy, którego oferta została wybrana jako najkorzystniejsza, z zastrzeżeniem art. 46 ust. 4a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 xml:space="preserve">Zamawiający zwraca niezwłocznie wadium, na wniosek Wykonawcy, który wycofał ofertę przed </w:t>
      </w:r>
      <w:r w:rsidRPr="00B60012">
        <w:rPr>
          <w:rFonts w:ascii="Arial" w:hAnsi="Arial" w:cs="Arial"/>
          <w:color w:val="000000"/>
        </w:rPr>
        <w:lastRenderedPageBreak/>
        <w:t>upływem terminu składania ofert.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żąda ponownego wniesienia wadium przez Wykonawcę, któremu zwrócono wadium na podstawie art. 46 ust. 1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zm.), jeżeli w wyniku rozstrzygnięcia odwołania jego oferta została wybrana jako najkorzystniejsza. Wykonawca wnosi wadium w terminie określonym przez Zamawiającego.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zatrzymuje wadium wraz z odsetkami, jeżeli Wykonawca w odpowiedzi na wezwanie, o którym mowa w art. 26 ust. 3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zm.), nie złożył dokumentów lub oświadczeń, o których mowa w art. 25 ust. 1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zm.), lub pełnomocnictw, chyba że udowodni, że wynika to z przyczyn nieleżących po jego stronie.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zatrzymuje wadium wraz z odsetkami, jeżeli Wykonawca, którego oferta została wybrana:</w:t>
      </w:r>
    </w:p>
    <w:p w:rsidR="008F49C3" w:rsidRPr="00B60012" w:rsidRDefault="008F49C3" w:rsidP="003C4FCF">
      <w:pPr>
        <w:pStyle w:val="Nagwek2"/>
      </w:pPr>
      <w:r w:rsidRPr="00B60012">
        <w:t xml:space="preserve">a) odmówił podpisania umowy w sprawie zamówienia publicznego na warunkach określonych w ofercie; </w:t>
      </w:r>
    </w:p>
    <w:p w:rsidR="003C4FCF" w:rsidRDefault="008F49C3" w:rsidP="003C4FCF">
      <w:pPr>
        <w:pStyle w:val="Nagwek2"/>
      </w:pPr>
      <w:r w:rsidRPr="00B60012">
        <w:t>b) nie wniósł wymaganego zabezpieczenia należytego wyko</w:t>
      </w:r>
      <w:r w:rsidRPr="00B60012">
        <w:softHyphen/>
        <w:t>nania umowy;</w:t>
      </w:r>
    </w:p>
    <w:p w:rsidR="009A21DD" w:rsidRPr="003C4FCF" w:rsidRDefault="008F49C3" w:rsidP="003C4FCF">
      <w:pPr>
        <w:pStyle w:val="Nagwek2"/>
      </w:pPr>
      <w:r w:rsidRPr="003C4FCF">
        <w:t>c) zawarcie umowy w sprawie zamówienia publicznego stało się niemożliwe z przyczyn leżących po stronie Wykonawcy.</w:t>
      </w:r>
    </w:p>
    <w:p w:rsidR="00A31B07" w:rsidRDefault="00A31B07" w:rsidP="00626A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E1366" w:rsidRPr="00626A54" w:rsidRDefault="008E1366" w:rsidP="00626A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IX. Kryteria oceny ofert i ich znaczenie:</w:t>
      </w:r>
    </w:p>
    <w:p w:rsidR="008F49C3" w:rsidRPr="00C13CE2" w:rsidRDefault="008F49C3" w:rsidP="008F49C3">
      <w:pPr>
        <w:pStyle w:val="FS2"/>
        <w:rPr>
          <w:rFonts w:eastAsia="MS Mincho"/>
          <w:bCs w:val="0"/>
          <w:iCs w:val="0"/>
          <w:sz w:val="2"/>
          <w:szCs w:val="2"/>
        </w:rPr>
      </w:pPr>
    </w:p>
    <w:tbl>
      <w:tblPr>
        <w:tblW w:w="8363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9"/>
        <w:gridCol w:w="696"/>
        <w:gridCol w:w="2806"/>
        <w:gridCol w:w="4253"/>
      </w:tblGrid>
      <w:tr w:rsidR="008F49C3" w:rsidRPr="009A21DD" w:rsidTr="003C4FCF">
        <w:trPr>
          <w:trHeight w:val="832"/>
        </w:trPr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Kryteria główne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 xml:space="preserve">Maksymalna liczba punktów, </w:t>
            </w:r>
            <w:r w:rsidRPr="009A21DD">
              <w:rPr>
                <w:rFonts w:ascii="Arial" w:hAnsi="Arial" w:cs="Arial"/>
                <w:b/>
                <w:color w:val="000000"/>
              </w:rPr>
              <w:br/>
              <w:t>którą może otrzymać oferta za dane kryterium</w:t>
            </w:r>
          </w:p>
        </w:tc>
      </w:tr>
      <w:tr w:rsidR="008F49C3" w:rsidRPr="009A21DD" w:rsidTr="0029422C">
        <w:trPr>
          <w:trHeight w:val="53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C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80,00</w:t>
            </w:r>
          </w:p>
        </w:tc>
      </w:tr>
      <w:tr w:rsidR="008F49C3" w:rsidRPr="009A21DD" w:rsidTr="00B17C31">
        <w:trPr>
          <w:trHeight w:val="55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Rozwiązania Techniczne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7,00</w:t>
            </w:r>
          </w:p>
        </w:tc>
      </w:tr>
      <w:tr w:rsidR="008F49C3" w:rsidRPr="009A21DD" w:rsidTr="00B17C31">
        <w:trPr>
          <w:trHeight w:val="53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Eksploatacja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13,00</w:t>
            </w:r>
          </w:p>
        </w:tc>
      </w:tr>
    </w:tbl>
    <w:p w:rsidR="008F49C3" w:rsidRPr="009A21DD" w:rsidRDefault="008F49C3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9A21DD" w:rsidRDefault="008F49C3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29422C" w:rsidRDefault="008F49C3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>W tym:</w:t>
      </w:r>
    </w:p>
    <w:p w:rsidR="00A31B07" w:rsidRDefault="00A31B07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F49C3" w:rsidRPr="0029422C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>1. Cena (C) = 80,00 punktów</w:t>
      </w:r>
      <w:r w:rsidR="0029422C" w:rsidRPr="0029422C">
        <w:rPr>
          <w:rFonts w:ascii="Arial" w:hAnsi="Arial" w:cs="Arial"/>
          <w:b/>
          <w:color w:val="000000"/>
        </w:rPr>
        <w:t>.</w:t>
      </w:r>
    </w:p>
    <w:p w:rsidR="008F49C3" w:rsidRP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29422C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>2. Rozwiązania Techniczne (T).</w:t>
      </w:r>
    </w:p>
    <w:p w:rsidR="008F49C3" w:rsidRP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F49C3">
        <w:rPr>
          <w:rFonts w:ascii="Arial" w:hAnsi="Arial" w:cs="Arial"/>
          <w:color w:val="000000"/>
        </w:rPr>
        <w:t xml:space="preserve">Zamawiający oceni kryteria techniczne przedstawione w tabeli poniżej według załączonej punktacji: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7938" w:type="dxa"/>
        <w:tblInd w:w="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413"/>
        <w:gridCol w:w="4195"/>
        <w:gridCol w:w="1721"/>
      </w:tblGrid>
      <w:tr w:rsidR="009A21DD" w:rsidRPr="00912486" w:rsidTr="0029422C">
        <w:trPr>
          <w:trHeight w:val="103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Nr kryterium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Nazwa kryterium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Maksymalna ocena punktowa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Materiał konstrukcyjny przykrycia gazoszczelnego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Ukształtowanie dna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 xml:space="preserve">Wysokość [h] (w mm) w stosunku do całkowitej wysokości komory fermentacyjnej [H] (w mm) na jakiej odbywa się ekstrakcja </w:t>
            </w:r>
            <w:proofErr w:type="spellStart"/>
            <w:r w:rsidRPr="009A21DD">
              <w:rPr>
                <w:rFonts w:ascii="Arial" w:hAnsi="Arial" w:cs="Arial"/>
                <w:color w:val="000000"/>
              </w:rPr>
              <w:t>pofermentu</w:t>
            </w:r>
            <w:proofErr w:type="spellEnd"/>
            <w:r w:rsidRPr="009A21DD">
              <w:rPr>
                <w:rFonts w:ascii="Arial" w:hAnsi="Arial" w:cs="Arial"/>
                <w:color w:val="000000"/>
              </w:rPr>
              <w:t xml:space="preserve"> z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9A21DD" w:rsidRPr="00912486" w:rsidTr="003C4FCF">
        <w:trPr>
          <w:trHeight w:val="501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Izolacja cieplna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3C4FCF">
        <w:trPr>
          <w:trHeight w:val="39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T.5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Możliwość pobierania próbek w komorze fermentacyjnej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 xml:space="preserve">Minimalna temperatura prowadzenia procesu </w:t>
            </w:r>
            <w:proofErr w:type="spellStart"/>
            <w:r w:rsidRPr="009A21DD">
              <w:rPr>
                <w:rFonts w:ascii="Arial" w:hAnsi="Arial" w:cs="Arial"/>
                <w:color w:val="000000"/>
              </w:rPr>
              <w:t>metanizacji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9A21DD" w:rsidRPr="00912486" w:rsidTr="0029422C">
        <w:trPr>
          <w:trHeight w:val="46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Materiał systemu wentylacji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9A21DD" w:rsidRPr="00912486" w:rsidTr="0029422C">
        <w:trPr>
          <w:trHeight w:val="39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Monitoring temperatury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9A21DD" w:rsidRPr="00912486" w:rsidTr="0029422C">
        <w:trPr>
          <w:trHeight w:val="413"/>
        </w:trPr>
        <w:tc>
          <w:tcPr>
            <w:tcW w:w="6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Suma punktów za kryteria techniczne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7,00</w:t>
            </w:r>
          </w:p>
        </w:tc>
      </w:tr>
    </w:tbl>
    <w:p w:rsidR="00A31B07" w:rsidRDefault="00A31B07" w:rsidP="009A2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17C31" w:rsidRDefault="00B17C31" w:rsidP="00A31B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9A21DD" w:rsidRPr="0029422C" w:rsidRDefault="009A21DD" w:rsidP="00A31B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 xml:space="preserve">3. </w:t>
      </w:r>
      <w:r w:rsidR="0029422C" w:rsidRPr="0029422C">
        <w:rPr>
          <w:rFonts w:ascii="Arial" w:hAnsi="Arial" w:cs="Arial"/>
          <w:b/>
          <w:color w:val="000000"/>
        </w:rPr>
        <w:t>Eksploatacja</w:t>
      </w:r>
      <w:r w:rsidRPr="0029422C">
        <w:rPr>
          <w:rFonts w:ascii="Arial" w:hAnsi="Arial" w:cs="Arial"/>
          <w:b/>
          <w:color w:val="000000"/>
        </w:rPr>
        <w:t xml:space="preserve">  (E).</w:t>
      </w:r>
    </w:p>
    <w:p w:rsidR="009A21DD" w:rsidRPr="009A21DD" w:rsidRDefault="009A21DD" w:rsidP="009A2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A21DD">
        <w:rPr>
          <w:rFonts w:ascii="Arial" w:hAnsi="Arial" w:cs="Arial"/>
          <w:color w:val="000000"/>
        </w:rPr>
        <w:t>Zamawiający oceni kryteria eksploatacyjne przedstawione w tabeli poniżej według załączonej punktacji:</w:t>
      </w: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219"/>
        <w:gridCol w:w="5351"/>
        <w:gridCol w:w="2175"/>
      </w:tblGrid>
      <w:tr w:rsidR="009A21DD" w:rsidRPr="009A21DD" w:rsidTr="0029422C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Nr kryterium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Nazwa kryterium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Maksymalna ocena punktowa</w:t>
            </w:r>
          </w:p>
        </w:tc>
      </w:tr>
      <w:tr w:rsidR="009A21DD" w:rsidRPr="009A21DD" w:rsidTr="0029422C">
        <w:trPr>
          <w:trHeight w:val="63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E.1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Roczny koszt zużycia reagentów podawanych do procesu dla fermentacji metanowej i do dezodoryzacji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9A21DD" w:rsidRPr="009A21DD" w:rsidTr="0029422C">
        <w:trPr>
          <w:trHeight w:val="69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E.2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Produkcja biogazu w stosunku do wyniku testu fermentacyjnego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9A21DD" w:rsidRPr="009A21DD" w:rsidTr="0029422C">
        <w:trPr>
          <w:trHeight w:val="389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E.3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Dyspozycyjność węzła kogeneracji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9A21DD" w:rsidRPr="009A21DD" w:rsidTr="0029422C">
        <w:trPr>
          <w:trHeight w:val="423"/>
        </w:trPr>
        <w:tc>
          <w:tcPr>
            <w:tcW w:w="7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Razem punktów za kryteria eksploatacyjne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13,00</w:t>
            </w:r>
          </w:p>
        </w:tc>
      </w:tr>
    </w:tbl>
    <w:p w:rsidR="009A21DD" w:rsidRDefault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17C31" w:rsidRDefault="00B17C31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Pr="00A31B07" w:rsidRDefault="008E1366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X. Miejsce i termin składania ofert:</w:t>
      </w:r>
    </w:p>
    <w:p w:rsidR="0029422C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Oferty należy składać do dnia</w:t>
      </w:r>
      <w:r w:rsidRPr="00B247F7">
        <w:rPr>
          <w:rFonts w:ascii="Arial" w:hAnsi="Arial" w:cs="Arial"/>
          <w:color w:val="000000"/>
        </w:rPr>
        <w:t xml:space="preserve">: </w:t>
      </w:r>
      <w:r w:rsidR="00163CB9" w:rsidRPr="009D0F8C">
        <w:rPr>
          <w:rFonts w:ascii="Arial" w:hAnsi="Arial" w:cs="Arial"/>
          <w:color w:val="000000"/>
        </w:rPr>
        <w:t>10</w:t>
      </w:r>
      <w:r w:rsidRPr="009D0F8C">
        <w:rPr>
          <w:rFonts w:ascii="Arial" w:hAnsi="Arial" w:cs="Arial"/>
          <w:color w:val="000000"/>
        </w:rPr>
        <w:t>.12.2012 r.</w:t>
      </w:r>
      <w:r w:rsidRPr="00B247F7">
        <w:rPr>
          <w:rFonts w:ascii="Arial" w:hAnsi="Arial" w:cs="Arial"/>
          <w:color w:val="000000"/>
        </w:rPr>
        <w:t xml:space="preserve"> do godz. 12.00 w siedzibie Zamawiającego na podany niżej adres:</w:t>
      </w:r>
      <w:r w:rsidRPr="005E1CEB">
        <w:rPr>
          <w:rFonts w:ascii="Arial" w:hAnsi="Arial" w:cs="Arial"/>
          <w:color w:val="000000"/>
        </w:rPr>
        <w:t xml:space="preserve"> 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Miejski Zakład Komunalny Sp. z o.o.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lastRenderedPageBreak/>
        <w:t>ul. Komunalna 1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37-450 Stalowa Wola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Polska</w:t>
      </w:r>
    </w:p>
    <w:p w:rsidR="009A21DD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Sekretariat MZK</w:t>
      </w:r>
    </w:p>
    <w:p w:rsidR="009A21DD" w:rsidRDefault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Pr="00A31B07" w:rsidRDefault="008E1366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XI. Miejsce i termin otwarcia ofert:</w:t>
      </w:r>
    </w:p>
    <w:p w:rsidR="009A21DD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Oferty zostaną otwarte dnia: </w:t>
      </w:r>
      <w:r w:rsidR="00163CB9" w:rsidRPr="009D0F8C">
        <w:rPr>
          <w:rFonts w:ascii="Arial" w:hAnsi="Arial" w:cs="Arial"/>
          <w:color w:val="000000"/>
        </w:rPr>
        <w:t>10</w:t>
      </w:r>
      <w:r w:rsidRPr="009D0F8C">
        <w:rPr>
          <w:rFonts w:ascii="Arial" w:hAnsi="Arial" w:cs="Arial"/>
          <w:color w:val="000000"/>
        </w:rPr>
        <w:t>.12.2012 r.,</w:t>
      </w:r>
      <w:r w:rsidRPr="00B247F7">
        <w:rPr>
          <w:rFonts w:ascii="Arial" w:hAnsi="Arial" w:cs="Arial"/>
          <w:color w:val="000000"/>
        </w:rPr>
        <w:t xml:space="preserve"> o godz. 12.15</w:t>
      </w:r>
      <w:r>
        <w:rPr>
          <w:rFonts w:ascii="Arial" w:hAnsi="Arial" w:cs="Arial"/>
          <w:color w:val="000000"/>
        </w:rPr>
        <w:t xml:space="preserve"> w siedzibie Z</w:t>
      </w:r>
      <w:r w:rsidRPr="005E1CEB">
        <w:rPr>
          <w:rFonts w:ascii="Arial" w:hAnsi="Arial" w:cs="Arial"/>
          <w:color w:val="000000"/>
        </w:rPr>
        <w:t xml:space="preserve">amawiającego pod podanym niżej adresem: 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Miejski Zakład Komunalny Sp. z o.o.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ul. Komunalna 1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37-450 Stalowa Wola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Polska</w:t>
      </w:r>
    </w:p>
    <w:p w:rsidR="009A21DD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Pokój 9 – Sala Konferencyjna MZK (parter)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422C" w:rsidRDefault="0029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XII. Termin związania ofertą</w:t>
      </w:r>
      <w:r w:rsidR="009A21DD">
        <w:rPr>
          <w:rFonts w:ascii="Arial" w:hAnsi="Arial" w:cs="Arial"/>
          <w:b/>
          <w:bCs/>
          <w:color w:val="000000"/>
        </w:rPr>
        <w:t>:</w:t>
      </w:r>
    </w:p>
    <w:p w:rsidR="00381E74" w:rsidRPr="00853036" w:rsidRDefault="00381E74" w:rsidP="00B17C31">
      <w:pPr>
        <w:pStyle w:val="Nagwek2"/>
        <w:jc w:val="both"/>
      </w:pPr>
      <w:r>
        <w:t xml:space="preserve">1. </w:t>
      </w:r>
      <w:r w:rsidRPr="00853036">
        <w:t>Wykonawca pozostaje związany ofertą przez okres 90 dni.</w:t>
      </w:r>
    </w:p>
    <w:p w:rsidR="00381E74" w:rsidRPr="00853036" w:rsidRDefault="00381E74" w:rsidP="00B17C31">
      <w:pPr>
        <w:pStyle w:val="Nagwek2"/>
        <w:jc w:val="both"/>
      </w:pPr>
      <w:r>
        <w:t xml:space="preserve">2. </w:t>
      </w:r>
      <w:r w:rsidRPr="00853036">
        <w:t>Bieg terminu związania ofertą rozpoczyna się wraz z upływem terminu składania ofert.</w:t>
      </w:r>
    </w:p>
    <w:p w:rsidR="00381E74" w:rsidRPr="00853036" w:rsidRDefault="00381E74" w:rsidP="00B17C31">
      <w:pPr>
        <w:pStyle w:val="Nagwek2"/>
        <w:jc w:val="both"/>
      </w:pPr>
      <w:r>
        <w:rPr>
          <w:rFonts w:eastAsia="TimesNewRoman"/>
        </w:rPr>
        <w:t xml:space="preserve">3. </w:t>
      </w:r>
      <w:r w:rsidRPr="00853036">
        <w:rPr>
          <w:rFonts w:eastAsia="TimesNew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</w:t>
      </w:r>
      <w:r w:rsidRPr="00853036">
        <w:t xml:space="preserve"> </w:t>
      </w:r>
      <w:r w:rsidRPr="00853036">
        <w:rPr>
          <w:rFonts w:eastAsia="TimesNewRoman"/>
        </w:rPr>
        <w:t>60 dni.</w:t>
      </w:r>
      <w:r w:rsidRPr="00853036">
        <w:t xml:space="preserve"> Odmowa wyrażenia zgody nie powoduje utraty wadium. </w:t>
      </w:r>
    </w:p>
    <w:p w:rsidR="00381E74" w:rsidRPr="00853036" w:rsidRDefault="00381E74" w:rsidP="00B17C31">
      <w:pPr>
        <w:pStyle w:val="Nagwek2"/>
        <w:jc w:val="both"/>
      </w:pPr>
      <w:r>
        <w:t xml:space="preserve">4. </w:t>
      </w:r>
      <w:r w:rsidRPr="00853036"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wniesienia nowego wadium lub jeg</w:t>
      </w:r>
      <w:r>
        <w:t>o przedłużenia dotyczy jedynie W</w:t>
      </w:r>
      <w:r w:rsidRPr="00853036">
        <w:t>ykonawcy, którego oferta została wybrana jako najkorzystniejsza.</w:t>
      </w:r>
    </w:p>
    <w:p w:rsidR="008E1366" w:rsidRPr="00381E74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7C31" w:rsidRDefault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XIII. Informacje o zamiarze zawarcia umowy ramowej</w:t>
      </w:r>
      <w:r w:rsidR="00381E74">
        <w:rPr>
          <w:rFonts w:ascii="Arial" w:hAnsi="Arial" w:cs="Arial"/>
          <w:b/>
          <w:bCs/>
          <w:color w:val="000000"/>
        </w:rPr>
        <w:t>:</w:t>
      </w:r>
    </w:p>
    <w:p w:rsidR="008B5097" w:rsidRPr="004040DE" w:rsidRDefault="008B5097" w:rsidP="008B50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niniejszego postępowania nie jest zawarcie umowy ramowej</w:t>
      </w:r>
      <w:r w:rsidR="00381E74">
        <w:rPr>
          <w:rFonts w:ascii="Arial" w:hAnsi="Arial" w:cs="Arial"/>
          <w:color w:val="000000"/>
        </w:rPr>
        <w:t>.</w:t>
      </w:r>
    </w:p>
    <w:p w:rsidR="00B17C31" w:rsidRDefault="00B17C31" w:rsidP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Pr="00A31B07" w:rsidRDefault="008E1366" w:rsidP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XIV. Informacje o zamiarze ustanowienia dynamicznego systemu zakupów wraz z adresem strony internetowej, na której będą zamieszczane dodatkowe informacje dotyczące dynamicznego systemu zakupów</w:t>
      </w:r>
      <w:r w:rsidR="004B4D69">
        <w:rPr>
          <w:rFonts w:ascii="Arial" w:hAnsi="Arial" w:cs="Arial"/>
          <w:b/>
          <w:bCs/>
          <w:color w:val="000000"/>
        </w:rPr>
        <w:t>:</w:t>
      </w:r>
    </w:p>
    <w:p w:rsidR="008E1366" w:rsidRDefault="008B5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dotyczy</w:t>
      </w:r>
      <w:r w:rsidR="004B4D69">
        <w:rPr>
          <w:rFonts w:ascii="Arial" w:hAnsi="Arial" w:cs="Arial"/>
          <w:color w:val="000000"/>
        </w:rPr>
        <w:t>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7C31" w:rsidRDefault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XV. Informacje o przewidywanym wyborze najkorzystniejszej oferty z zastosowaniem aukcji elektronicznej wraz z adresem strony internetowej, na której będzie prowadzona aukcja elektroniczna</w:t>
      </w:r>
      <w:r w:rsidR="004B4D69">
        <w:rPr>
          <w:rFonts w:ascii="Arial" w:hAnsi="Arial" w:cs="Arial"/>
          <w:b/>
          <w:bCs/>
          <w:color w:val="000000"/>
        </w:rPr>
        <w:t>:</w:t>
      </w:r>
    </w:p>
    <w:p w:rsidR="008B5097" w:rsidRDefault="008B5097" w:rsidP="008B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przewiduje zastosowania aukcji elektronicznej</w:t>
      </w:r>
      <w:r w:rsidR="004B4D69">
        <w:rPr>
          <w:rFonts w:ascii="Arial" w:hAnsi="Arial" w:cs="Arial"/>
          <w:color w:val="000000"/>
        </w:rPr>
        <w:t>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XVI. Przewidywane zamówienia uzupełniające:</w:t>
      </w:r>
    </w:p>
    <w:p w:rsidR="008E1366" w:rsidRDefault="003C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858">
        <w:rPr>
          <w:rFonts w:ascii="Arial" w:hAnsi="Arial" w:cs="Arial"/>
          <w:color w:val="000000"/>
        </w:rPr>
        <w:t xml:space="preserve">Zamawiający dopuszcza możliwość udzielenia zamówień uzupełniających stanowiących nie więcej niż 10 % wartości zamówienia podstawowego, w trybie zamówienia z wolnej ręki przewidzianym w art. 67 ust. 6) i 7) ustawy </w:t>
      </w:r>
      <w:proofErr w:type="spellStart"/>
      <w:r w:rsidRPr="00D76858">
        <w:rPr>
          <w:rFonts w:ascii="Arial" w:hAnsi="Arial" w:cs="Arial"/>
          <w:color w:val="000000"/>
        </w:rPr>
        <w:t>Pzp</w:t>
      </w:r>
      <w:proofErr w:type="spellEnd"/>
      <w:r w:rsidRPr="00D76858">
        <w:rPr>
          <w:rFonts w:ascii="Arial" w:hAnsi="Arial" w:cs="Arial"/>
          <w:color w:val="000000"/>
        </w:rPr>
        <w:t xml:space="preserve">, polegających na powtórzeniu tego samego </w:t>
      </w:r>
      <w:r w:rsidRPr="00D76858">
        <w:rPr>
          <w:rFonts w:ascii="Arial" w:hAnsi="Arial" w:cs="Arial"/>
          <w:color w:val="000000"/>
        </w:rPr>
        <w:lastRenderedPageBreak/>
        <w:t>rodzaju zamówienia.</w:t>
      </w:r>
    </w:p>
    <w:p w:rsidR="008B5097" w:rsidRDefault="008B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17C31" w:rsidRDefault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XVII. Termin przekazania ogłoszenia o zamówieniu do Dz. U. UE:</w:t>
      </w:r>
    </w:p>
    <w:p w:rsidR="00163CB9" w:rsidRDefault="008E1366" w:rsidP="00163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Ogłoszenie o zamówieniu zostało przekazane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do publikacji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Dzienniku Urzędowym Unii Europejskiej dnia </w:t>
      </w:r>
      <w:r w:rsidR="009617BC">
        <w:rPr>
          <w:rFonts w:ascii="Arial" w:hAnsi="Arial" w:cs="Arial"/>
          <w:color w:val="000000"/>
          <w:highlight w:val="white"/>
        </w:rPr>
        <w:t>201</w:t>
      </w:r>
      <w:r w:rsidR="00BC0460">
        <w:rPr>
          <w:rFonts w:ascii="Arial" w:hAnsi="Arial" w:cs="Arial"/>
          <w:color w:val="000000"/>
          <w:highlight w:val="white"/>
        </w:rPr>
        <w:t>2</w:t>
      </w:r>
      <w:r w:rsidR="007B7D68">
        <w:rPr>
          <w:rFonts w:ascii="Arial" w:hAnsi="Arial" w:cs="Arial"/>
          <w:color w:val="000000"/>
          <w:highlight w:val="white"/>
        </w:rPr>
        <w:t>-10</w:t>
      </w:r>
      <w:r w:rsidR="008B5097">
        <w:rPr>
          <w:rFonts w:ascii="Arial" w:hAnsi="Arial" w:cs="Arial"/>
          <w:color w:val="000000"/>
          <w:highlight w:val="white"/>
        </w:rPr>
        <w:t>-</w:t>
      </w:r>
      <w:r w:rsidR="004B4D69">
        <w:rPr>
          <w:rFonts w:ascii="Arial" w:hAnsi="Arial" w:cs="Arial"/>
          <w:color w:val="000000"/>
        </w:rPr>
        <w:t>1</w:t>
      </w:r>
      <w:r w:rsidR="00BC0460">
        <w:rPr>
          <w:rFonts w:ascii="Arial" w:hAnsi="Arial" w:cs="Arial"/>
          <w:color w:val="000000"/>
        </w:rPr>
        <w:t>8</w:t>
      </w:r>
      <w:r w:rsidR="009617B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E1366" w:rsidRDefault="00163CB9" w:rsidP="00163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D0F8C">
        <w:rPr>
          <w:rFonts w:ascii="Arial" w:hAnsi="Arial" w:cs="Arial"/>
          <w:color w:val="000000"/>
        </w:rPr>
        <w:t>Ogłoszenie dodatkowych informacji, informacje o niekompletnej procedurze lub sprostowanie</w:t>
      </w:r>
      <w:r w:rsidRPr="009D0F8C">
        <w:t xml:space="preserve"> </w:t>
      </w:r>
      <w:r w:rsidRPr="009D0F8C">
        <w:rPr>
          <w:rFonts w:ascii="Arial" w:hAnsi="Arial" w:cs="Arial"/>
          <w:color w:val="000000"/>
        </w:rPr>
        <w:t xml:space="preserve">zostało przekazane do publikacji w Dzienniku Urzędowym Unii Europejskiej dnia </w:t>
      </w:r>
      <w:r w:rsidR="009D0F8C" w:rsidRPr="009D0F8C">
        <w:rPr>
          <w:rFonts w:ascii="Arial" w:hAnsi="Arial" w:cs="Arial"/>
          <w:color w:val="000000"/>
        </w:rPr>
        <w:t xml:space="preserve">2012-10-31 oraz dnia </w:t>
      </w:r>
      <w:r w:rsidRPr="009D0F8C">
        <w:rPr>
          <w:rFonts w:ascii="Arial" w:hAnsi="Arial" w:cs="Arial"/>
          <w:color w:val="000000"/>
        </w:rPr>
        <w:t>2012-11-14.</w:t>
      </w:r>
    </w:p>
    <w:sectPr w:rsidR="008E1366" w:rsidSect="00B17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0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D1" w:rsidRDefault="002C0AD1" w:rsidP="008B5097">
      <w:pPr>
        <w:spacing w:after="0" w:line="240" w:lineRule="auto"/>
      </w:pPr>
      <w:r>
        <w:separator/>
      </w:r>
    </w:p>
  </w:endnote>
  <w:endnote w:type="continuationSeparator" w:id="0">
    <w:p w:rsidR="002C0AD1" w:rsidRDefault="002C0AD1" w:rsidP="008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31" w:rsidRDefault="00B17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199"/>
      <w:docPartObj>
        <w:docPartGallery w:val="Page Numbers (Bottom of Page)"/>
        <w:docPartUnique/>
      </w:docPartObj>
    </w:sdtPr>
    <w:sdtEndPr/>
    <w:sdtContent>
      <w:p w:rsidR="00AD4879" w:rsidRDefault="00C264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879" w:rsidRDefault="00AD48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31" w:rsidRDefault="00B1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D1" w:rsidRDefault="002C0AD1" w:rsidP="008B5097">
      <w:pPr>
        <w:spacing w:after="0" w:line="240" w:lineRule="auto"/>
      </w:pPr>
      <w:r>
        <w:separator/>
      </w:r>
    </w:p>
  </w:footnote>
  <w:footnote w:type="continuationSeparator" w:id="0">
    <w:p w:rsidR="002C0AD1" w:rsidRDefault="002C0AD1" w:rsidP="008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31" w:rsidRDefault="00B17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97" w:rsidRPr="00B17C31" w:rsidRDefault="008B5097" w:rsidP="00B17C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31" w:rsidRDefault="00B17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4F4"/>
    <w:multiLevelType w:val="hybridMultilevel"/>
    <w:tmpl w:val="970AE118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7E1"/>
    <w:multiLevelType w:val="hybridMultilevel"/>
    <w:tmpl w:val="2EDC1A3C"/>
    <w:lvl w:ilvl="0" w:tplc="0415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74D0A72"/>
    <w:multiLevelType w:val="hybridMultilevel"/>
    <w:tmpl w:val="B76ADA62"/>
    <w:lvl w:ilvl="0" w:tplc="70A6311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16FA5"/>
    <w:multiLevelType w:val="hybridMultilevel"/>
    <w:tmpl w:val="9F089EE0"/>
    <w:lvl w:ilvl="0" w:tplc="6F7C558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9082966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8D71C37"/>
    <w:multiLevelType w:val="hybridMultilevel"/>
    <w:tmpl w:val="CAA6B78A"/>
    <w:lvl w:ilvl="0" w:tplc="BA04B368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5D4F6C60"/>
    <w:multiLevelType w:val="hybridMultilevel"/>
    <w:tmpl w:val="76FAC982"/>
    <w:lvl w:ilvl="0" w:tplc="D29A067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375" w:hanging="360"/>
      </w:pPr>
    </w:lvl>
    <w:lvl w:ilvl="2" w:tplc="04150005" w:tentative="1">
      <w:start w:val="1"/>
      <w:numFmt w:val="lowerRoman"/>
      <w:lvlText w:val="%3."/>
      <w:lvlJc w:val="right"/>
      <w:pPr>
        <w:ind w:left="2095" w:hanging="180"/>
      </w:pPr>
    </w:lvl>
    <w:lvl w:ilvl="3" w:tplc="04150001" w:tentative="1">
      <w:start w:val="1"/>
      <w:numFmt w:val="decimal"/>
      <w:lvlText w:val="%4."/>
      <w:lvlJc w:val="left"/>
      <w:pPr>
        <w:ind w:left="2815" w:hanging="360"/>
      </w:pPr>
    </w:lvl>
    <w:lvl w:ilvl="4" w:tplc="04150003" w:tentative="1">
      <w:start w:val="1"/>
      <w:numFmt w:val="lowerLetter"/>
      <w:lvlText w:val="%5."/>
      <w:lvlJc w:val="left"/>
      <w:pPr>
        <w:ind w:left="3535" w:hanging="360"/>
      </w:pPr>
    </w:lvl>
    <w:lvl w:ilvl="5" w:tplc="04150005" w:tentative="1">
      <w:start w:val="1"/>
      <w:numFmt w:val="lowerRoman"/>
      <w:lvlText w:val="%6."/>
      <w:lvlJc w:val="right"/>
      <w:pPr>
        <w:ind w:left="4255" w:hanging="180"/>
      </w:pPr>
    </w:lvl>
    <w:lvl w:ilvl="6" w:tplc="04150001" w:tentative="1">
      <w:start w:val="1"/>
      <w:numFmt w:val="decimal"/>
      <w:lvlText w:val="%7."/>
      <w:lvlJc w:val="left"/>
      <w:pPr>
        <w:ind w:left="4975" w:hanging="360"/>
      </w:pPr>
    </w:lvl>
    <w:lvl w:ilvl="7" w:tplc="04150003" w:tentative="1">
      <w:start w:val="1"/>
      <w:numFmt w:val="lowerLetter"/>
      <w:lvlText w:val="%8."/>
      <w:lvlJc w:val="left"/>
      <w:pPr>
        <w:ind w:left="5695" w:hanging="360"/>
      </w:pPr>
    </w:lvl>
    <w:lvl w:ilvl="8" w:tplc="04150005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627D0F5F"/>
    <w:multiLevelType w:val="hybridMultilevel"/>
    <w:tmpl w:val="51B03440"/>
    <w:lvl w:ilvl="0" w:tplc="115444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B7FA7"/>
    <w:multiLevelType w:val="hybridMultilevel"/>
    <w:tmpl w:val="F0A6B648"/>
    <w:lvl w:ilvl="0" w:tplc="6FDA8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9"/>
    <w:rsid w:val="000252A7"/>
    <w:rsid w:val="00062975"/>
    <w:rsid w:val="00064EAA"/>
    <w:rsid w:val="000E1EE5"/>
    <w:rsid w:val="00163CB9"/>
    <w:rsid w:val="00182597"/>
    <w:rsid w:val="001B6BF3"/>
    <w:rsid w:val="00272088"/>
    <w:rsid w:val="0029422C"/>
    <w:rsid w:val="002C0AD1"/>
    <w:rsid w:val="00314010"/>
    <w:rsid w:val="003156E0"/>
    <w:rsid w:val="00351561"/>
    <w:rsid w:val="00381E74"/>
    <w:rsid w:val="003B079B"/>
    <w:rsid w:val="003C4FCF"/>
    <w:rsid w:val="003E3C0E"/>
    <w:rsid w:val="004033BE"/>
    <w:rsid w:val="004040DE"/>
    <w:rsid w:val="004B4D69"/>
    <w:rsid w:val="004D712B"/>
    <w:rsid w:val="004E0CD6"/>
    <w:rsid w:val="005257D7"/>
    <w:rsid w:val="00626A54"/>
    <w:rsid w:val="00645FED"/>
    <w:rsid w:val="00653479"/>
    <w:rsid w:val="007B7D68"/>
    <w:rsid w:val="0082606F"/>
    <w:rsid w:val="008B5097"/>
    <w:rsid w:val="008E1366"/>
    <w:rsid w:val="008F4434"/>
    <w:rsid w:val="008F49C3"/>
    <w:rsid w:val="009617BC"/>
    <w:rsid w:val="0098797E"/>
    <w:rsid w:val="009A21DD"/>
    <w:rsid w:val="009D0F8C"/>
    <w:rsid w:val="009D4438"/>
    <w:rsid w:val="009E1F53"/>
    <w:rsid w:val="009E72B3"/>
    <w:rsid w:val="00A077D6"/>
    <w:rsid w:val="00A31B07"/>
    <w:rsid w:val="00A53A8B"/>
    <w:rsid w:val="00AD4879"/>
    <w:rsid w:val="00B17C31"/>
    <w:rsid w:val="00B83A69"/>
    <w:rsid w:val="00BC0460"/>
    <w:rsid w:val="00C23F15"/>
    <w:rsid w:val="00C2646B"/>
    <w:rsid w:val="00CE7026"/>
    <w:rsid w:val="00DB6213"/>
    <w:rsid w:val="00DE29BE"/>
    <w:rsid w:val="00E0406C"/>
    <w:rsid w:val="00EB5799"/>
    <w:rsid w:val="00F848E3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B3"/>
    <w:pPr>
      <w:spacing w:after="200" w:line="276" w:lineRule="auto"/>
    </w:pPr>
    <w:rPr>
      <w:rFonts w:cs="Times New Roman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3C4FCF"/>
    <w:pPr>
      <w:suppressAutoHyphens/>
      <w:spacing w:after="0" w:line="240" w:lineRule="auto"/>
      <w:outlineLvl w:val="1"/>
    </w:pPr>
    <w:rPr>
      <w:rFonts w:ascii="Arial" w:hAnsi="Arial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50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B5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097"/>
    <w:rPr>
      <w:rFonts w:cs="Times New Roman"/>
    </w:rPr>
  </w:style>
  <w:style w:type="paragraph" w:customStyle="1" w:styleId="FS2">
    <w:name w:val="FS2"/>
    <w:basedOn w:val="Normalny"/>
    <w:rsid w:val="004D712B"/>
    <w:pPr>
      <w:spacing w:after="0" w:line="240" w:lineRule="auto"/>
    </w:pPr>
    <w:rPr>
      <w:rFonts w:ascii="Times New Roman" w:hAnsi="Times New Roman"/>
      <w:bCs/>
      <w:iCs/>
      <w:sz w:val="20"/>
      <w:szCs w:val="24"/>
    </w:rPr>
  </w:style>
  <w:style w:type="paragraph" w:styleId="Akapitzlist">
    <w:name w:val="List Paragraph"/>
    <w:basedOn w:val="Normalny"/>
    <w:uiPriority w:val="34"/>
    <w:qFormat/>
    <w:rsid w:val="004D712B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3C4FCF"/>
    <w:rPr>
      <w:rFonts w:ascii="Arial" w:hAnsi="Arial" w:cs="Times New Roman"/>
      <w:bCs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B3"/>
    <w:pPr>
      <w:spacing w:after="200" w:line="276" w:lineRule="auto"/>
    </w:pPr>
    <w:rPr>
      <w:rFonts w:cs="Times New Roman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3C4FCF"/>
    <w:pPr>
      <w:suppressAutoHyphens/>
      <w:spacing w:after="0" w:line="240" w:lineRule="auto"/>
      <w:outlineLvl w:val="1"/>
    </w:pPr>
    <w:rPr>
      <w:rFonts w:ascii="Arial" w:hAnsi="Arial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50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B5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097"/>
    <w:rPr>
      <w:rFonts w:cs="Times New Roman"/>
    </w:rPr>
  </w:style>
  <w:style w:type="paragraph" w:customStyle="1" w:styleId="FS2">
    <w:name w:val="FS2"/>
    <w:basedOn w:val="Normalny"/>
    <w:rsid w:val="004D712B"/>
    <w:pPr>
      <w:spacing w:after="0" w:line="240" w:lineRule="auto"/>
    </w:pPr>
    <w:rPr>
      <w:rFonts w:ascii="Times New Roman" w:hAnsi="Times New Roman"/>
      <w:bCs/>
      <w:iCs/>
      <w:sz w:val="20"/>
      <w:szCs w:val="24"/>
    </w:rPr>
  </w:style>
  <w:style w:type="paragraph" w:styleId="Akapitzlist">
    <w:name w:val="List Paragraph"/>
    <w:basedOn w:val="Normalny"/>
    <w:uiPriority w:val="34"/>
    <w:qFormat/>
    <w:rsid w:val="004D712B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3C4FCF"/>
    <w:rPr>
      <w:rFonts w:ascii="Arial" w:hAnsi="Arial" w:cs="Times New Roman"/>
      <w:bCs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4139</Words>
  <Characters>24840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5</cp:revision>
  <cp:lastPrinted>2012-10-08T10:25:00Z</cp:lastPrinted>
  <dcterms:created xsi:type="dcterms:W3CDTF">2012-11-14T08:53:00Z</dcterms:created>
  <dcterms:modified xsi:type="dcterms:W3CDTF">2012-11-14T13:51:00Z</dcterms:modified>
</cp:coreProperties>
</file>